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324D4" w14:textId="77777777" w:rsidR="00860581" w:rsidRDefault="00000000">
      <w:pPr>
        <w:spacing w:line="240" w:lineRule="auto"/>
        <w:jc w:val="center"/>
        <w:rPr>
          <w:rFonts w:ascii="Arial" w:eastAsia="Arial" w:hAnsi="Arial" w:cs="Arial"/>
          <w:b/>
          <w:sz w:val="28"/>
          <w:szCs w:val="28"/>
          <w:highlight w:val="lightGray"/>
        </w:rPr>
      </w:pPr>
      <w:r>
        <w:rPr>
          <w:rFonts w:ascii="Arial" w:eastAsia="Arial" w:hAnsi="Arial" w:cs="Arial"/>
          <w:b/>
          <w:sz w:val="28"/>
          <w:szCs w:val="28"/>
          <w:highlight w:val="lightGray"/>
        </w:rPr>
        <w:t>CONSULTATION des CATL,</w:t>
      </w:r>
    </w:p>
    <w:p w14:paraId="4858C5A9" w14:textId="77777777" w:rsidR="00860581" w:rsidRDefault="00000000">
      <w:pPr>
        <w:spacing w:line="240" w:lineRule="auto"/>
        <w:jc w:val="center"/>
        <w:rPr>
          <w:rFonts w:ascii="Arial" w:eastAsia="Arial" w:hAnsi="Arial" w:cs="Arial"/>
          <w:b/>
          <w:sz w:val="28"/>
          <w:szCs w:val="28"/>
          <w:highlight w:val="lightGray"/>
        </w:rPr>
      </w:pPr>
      <w:proofErr w:type="gramStart"/>
      <w:r>
        <w:rPr>
          <w:rFonts w:ascii="Arial" w:eastAsia="Arial" w:hAnsi="Arial" w:cs="Arial"/>
          <w:b/>
          <w:sz w:val="28"/>
          <w:szCs w:val="28"/>
          <w:highlight w:val="lightGray"/>
        </w:rPr>
        <w:t>dans</w:t>
      </w:r>
      <w:proofErr w:type="gramEnd"/>
      <w:r>
        <w:rPr>
          <w:rFonts w:ascii="Arial" w:eastAsia="Arial" w:hAnsi="Arial" w:cs="Arial"/>
          <w:b/>
          <w:sz w:val="28"/>
          <w:szCs w:val="28"/>
          <w:highlight w:val="lightGray"/>
        </w:rPr>
        <w:t xml:space="preserve"> le cadre de la Plateforme communautaire des Coordinations ATL</w:t>
      </w:r>
    </w:p>
    <w:p w14:paraId="10A3CCC6" w14:textId="77777777" w:rsidR="00860581" w:rsidRDefault="00860581">
      <w:pPr>
        <w:spacing w:line="240" w:lineRule="auto"/>
        <w:jc w:val="center"/>
        <w:rPr>
          <w:rFonts w:ascii="Arial" w:eastAsia="Arial" w:hAnsi="Arial" w:cs="Arial"/>
          <w:b/>
          <w:sz w:val="28"/>
          <w:szCs w:val="28"/>
          <w:highlight w:val="lightGray"/>
        </w:rPr>
      </w:pPr>
    </w:p>
    <w:p w14:paraId="76F37C60" w14:textId="77777777" w:rsidR="00860581" w:rsidRDefault="00000000">
      <w:pPr>
        <w:spacing w:line="240" w:lineRule="auto"/>
        <w:jc w:val="center"/>
        <w:rPr>
          <w:rFonts w:ascii="Arial" w:eastAsia="Arial" w:hAnsi="Arial" w:cs="Arial"/>
          <w:b/>
          <w:sz w:val="28"/>
          <w:szCs w:val="28"/>
          <w:highlight w:val="lightGray"/>
        </w:rPr>
      </w:pPr>
      <w:r>
        <w:rPr>
          <w:rFonts w:ascii="Arial" w:eastAsia="Arial" w:hAnsi="Arial" w:cs="Arial"/>
          <w:b/>
          <w:sz w:val="28"/>
          <w:szCs w:val="28"/>
          <w:highlight w:val="lightGray"/>
        </w:rPr>
        <w:t>Sur demande de l’ONE</w:t>
      </w:r>
    </w:p>
    <w:p w14:paraId="75F774C5" w14:textId="77777777" w:rsidR="00860581" w:rsidRDefault="00000000">
      <w:pPr>
        <w:spacing w:line="240" w:lineRule="auto"/>
        <w:jc w:val="center"/>
        <w:rPr>
          <w:rFonts w:ascii="Arial" w:eastAsia="Arial" w:hAnsi="Arial" w:cs="Arial"/>
          <w:b/>
          <w:sz w:val="28"/>
          <w:szCs w:val="28"/>
          <w:highlight w:val="lightGray"/>
        </w:rPr>
      </w:pPr>
      <w:proofErr w:type="spellStart"/>
      <w:r>
        <w:rPr>
          <w:rFonts w:ascii="Arial" w:eastAsia="Arial" w:hAnsi="Arial" w:cs="Arial"/>
          <w:b/>
          <w:sz w:val="28"/>
          <w:szCs w:val="28"/>
          <w:highlight w:val="lightGray"/>
        </w:rPr>
        <w:t>A</w:t>
      </w:r>
      <w:proofErr w:type="spellEnd"/>
      <w:r>
        <w:rPr>
          <w:rFonts w:ascii="Arial" w:eastAsia="Arial" w:hAnsi="Arial" w:cs="Arial"/>
          <w:b/>
          <w:sz w:val="28"/>
          <w:szCs w:val="28"/>
          <w:highlight w:val="lightGray"/>
        </w:rPr>
        <w:t xml:space="preserve"> l’initiative de la </w:t>
      </w:r>
      <w:proofErr w:type="gramStart"/>
      <w:r>
        <w:rPr>
          <w:rFonts w:ascii="Arial" w:eastAsia="Arial" w:hAnsi="Arial" w:cs="Arial"/>
          <w:b/>
          <w:sz w:val="28"/>
          <w:szCs w:val="28"/>
          <w:highlight w:val="lightGray"/>
        </w:rPr>
        <w:t>Ministre de l’Enfance</w:t>
      </w:r>
      <w:proofErr w:type="gramEnd"/>
      <w:r>
        <w:rPr>
          <w:rFonts w:ascii="Arial" w:eastAsia="Arial" w:hAnsi="Arial" w:cs="Arial"/>
          <w:b/>
          <w:sz w:val="28"/>
          <w:szCs w:val="28"/>
          <w:highlight w:val="lightGray"/>
        </w:rPr>
        <w:t xml:space="preserve"> Alda GREOLI</w:t>
      </w:r>
    </w:p>
    <w:p w14:paraId="31479A2F" w14:textId="77777777" w:rsidR="00860581" w:rsidRDefault="00860581">
      <w:pPr>
        <w:spacing w:line="240" w:lineRule="auto"/>
        <w:rPr>
          <w:rFonts w:ascii="Arial" w:eastAsia="Arial" w:hAnsi="Arial" w:cs="Arial"/>
          <w:b/>
          <w:sz w:val="28"/>
          <w:szCs w:val="28"/>
          <w:highlight w:val="lightGray"/>
        </w:rPr>
      </w:pPr>
    </w:p>
    <w:p w14:paraId="22F2D737" w14:textId="77777777" w:rsidR="00860581" w:rsidRDefault="00000000">
      <w:pPr>
        <w:spacing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  <w:highlight w:val="lightGray"/>
        </w:rPr>
        <w:t>Objet :</w:t>
      </w:r>
    </w:p>
    <w:p w14:paraId="59372029" w14:textId="77777777" w:rsidR="00860581" w:rsidRDefault="00000000">
      <w:pPr>
        <w:spacing w:line="240" w:lineRule="auto"/>
        <w:rPr>
          <w:rFonts w:ascii="Arial" w:eastAsia="Arial" w:hAnsi="Arial" w:cs="Arial"/>
          <w:b/>
          <w:i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Harmonisation des législations du secteur de l’accueil temps libre en vue d’une simplification administrative</w:t>
      </w:r>
    </w:p>
    <w:p w14:paraId="32D9B42A" w14:textId="77777777" w:rsidR="00860581" w:rsidRDefault="00000000">
      <w:pPr>
        <w:spacing w:line="240" w:lineRule="auto"/>
        <w:rPr>
          <w:rFonts w:ascii="Arial" w:eastAsia="Arial" w:hAnsi="Arial" w:cs="Arial"/>
          <w:b/>
          <w:i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= « Toilettage » des 3 décrets du secteur ATL</w:t>
      </w:r>
    </w:p>
    <w:p w14:paraId="64E17EFB" w14:textId="77777777" w:rsidR="00860581" w:rsidRDefault="00000000">
      <w:pPr>
        <w:spacing w:line="240" w:lineRule="auto"/>
        <w:rPr>
          <w:rFonts w:ascii="Arial" w:eastAsia="Arial" w:hAnsi="Arial" w:cs="Arial"/>
          <w:b/>
          <w:i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= Simplifier et homogénéiser certains articles des décrets ATL, centres de vacances et écoles de devoirs</w:t>
      </w:r>
    </w:p>
    <w:p w14:paraId="39D14737" w14:textId="77777777" w:rsidR="00860581" w:rsidRDefault="00000000">
      <w:pPr>
        <w:spacing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► Avis des principaux acteurs et des instances d’avis du secteur, dont la Plateforme Dead line = 10 mai !</w:t>
      </w:r>
    </w:p>
    <w:p w14:paraId="2CA5CF44" w14:textId="77777777" w:rsidR="00860581" w:rsidRDefault="00860581">
      <w:pPr>
        <w:spacing w:line="240" w:lineRule="auto"/>
        <w:rPr>
          <w:rFonts w:ascii="Arial" w:eastAsia="Arial" w:hAnsi="Arial" w:cs="Arial"/>
          <w:b/>
          <w:sz w:val="28"/>
          <w:szCs w:val="28"/>
        </w:rPr>
      </w:pPr>
    </w:p>
    <w:p w14:paraId="700D25B6" w14:textId="77777777" w:rsidR="00860581" w:rsidRDefault="00000000">
      <w:pPr>
        <w:spacing w:line="240" w:lineRule="auto"/>
        <w:rPr>
          <w:rFonts w:ascii="Arial" w:eastAsia="Arial" w:hAnsi="Arial" w:cs="Arial"/>
          <w:b/>
          <w:sz w:val="28"/>
          <w:szCs w:val="28"/>
          <w:highlight w:val="lightGray"/>
        </w:rPr>
      </w:pPr>
      <w:r>
        <w:rPr>
          <w:rFonts w:ascii="Arial" w:eastAsia="Arial" w:hAnsi="Arial" w:cs="Arial"/>
          <w:b/>
          <w:sz w:val="28"/>
          <w:szCs w:val="28"/>
          <w:highlight w:val="lightGray"/>
        </w:rPr>
        <w:t>Il est demandé aux CATL de :</w:t>
      </w:r>
    </w:p>
    <w:p w14:paraId="436CB84B" w14:textId="77777777" w:rsidR="00860581" w:rsidRDefault="00000000">
      <w:pPr>
        <w:spacing w:line="240" w:lineRule="auto"/>
        <w:rPr>
          <w:rFonts w:ascii="Arial" w:eastAsia="Arial" w:hAnsi="Arial" w:cs="Arial"/>
          <w:b/>
          <w:i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► Identifier :</w:t>
      </w:r>
    </w:p>
    <w:p w14:paraId="3CE6F4C8" w14:textId="77777777" w:rsidR="0086058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8"/>
          <w:szCs w:val="28"/>
        </w:rPr>
      </w:pPr>
      <w:r>
        <w:rPr>
          <w:rFonts w:ascii="Arial" w:eastAsia="Arial" w:hAnsi="Arial" w:cs="Arial"/>
          <w:b/>
          <w:i/>
          <w:color w:val="000000"/>
          <w:sz w:val="28"/>
          <w:szCs w:val="28"/>
        </w:rPr>
        <w:t>Les points à simplifier ou à harmoniser (dans les 3 décrets et arrêtés) ; ex : règles en matière de ROI, de recours, …</w:t>
      </w:r>
    </w:p>
    <w:p w14:paraId="034966D7" w14:textId="77777777" w:rsidR="0086058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b/>
          <w:i/>
          <w:color w:val="000000"/>
          <w:sz w:val="28"/>
          <w:szCs w:val="28"/>
        </w:rPr>
      </w:pPr>
      <w:r>
        <w:rPr>
          <w:rFonts w:ascii="Arial" w:eastAsia="Arial" w:hAnsi="Arial" w:cs="Arial"/>
          <w:b/>
          <w:i/>
          <w:color w:val="000000"/>
          <w:sz w:val="28"/>
          <w:szCs w:val="28"/>
        </w:rPr>
        <w:t>Les éléments ou des procédures visant à une simplification administrative</w:t>
      </w:r>
    </w:p>
    <w:p w14:paraId="31FAF2D7" w14:textId="77777777" w:rsidR="00860581" w:rsidRDefault="00000000">
      <w:pPr>
        <w:spacing w:line="240" w:lineRule="auto"/>
        <w:rPr>
          <w:rFonts w:ascii="Arial" w:eastAsia="Arial" w:hAnsi="Arial" w:cs="Arial"/>
          <w:b/>
          <w:i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 xml:space="preserve">► </w:t>
      </w:r>
      <w:proofErr w:type="spellStart"/>
      <w:r>
        <w:rPr>
          <w:rFonts w:ascii="Arial" w:eastAsia="Arial" w:hAnsi="Arial" w:cs="Arial"/>
          <w:b/>
          <w:i/>
          <w:sz w:val="28"/>
          <w:szCs w:val="28"/>
        </w:rPr>
        <w:t>Emettre</w:t>
      </w:r>
      <w:proofErr w:type="spellEnd"/>
      <w:r>
        <w:rPr>
          <w:rFonts w:ascii="Arial" w:eastAsia="Arial" w:hAnsi="Arial" w:cs="Arial"/>
          <w:b/>
          <w:i/>
          <w:sz w:val="28"/>
          <w:szCs w:val="28"/>
        </w:rPr>
        <w:t xml:space="preserve"> des propositions de restructuration des textes pour en améliorer la compréhension</w:t>
      </w:r>
    </w:p>
    <w:p w14:paraId="0342E672" w14:textId="77777777" w:rsidR="00860581" w:rsidRDefault="00000000">
      <w:pPr>
        <w:spacing w:line="240" w:lineRule="auto"/>
        <w:rPr>
          <w:rFonts w:ascii="Arial" w:eastAsia="Arial" w:hAnsi="Arial" w:cs="Arial"/>
          <w:b/>
          <w:i/>
          <w:sz w:val="28"/>
          <w:szCs w:val="28"/>
        </w:rPr>
        <w:sectPr w:rsidR="00860581">
          <w:footerReference w:type="default" r:id="rId8"/>
          <w:pgSz w:w="16839" w:h="11907" w:orient="landscape"/>
          <w:pgMar w:top="567" w:right="1417" w:bottom="1417" w:left="1417" w:header="708" w:footer="708" w:gutter="0"/>
          <w:pgNumType w:start="1"/>
          <w:cols w:space="720"/>
        </w:sectPr>
      </w:pPr>
      <w:r>
        <w:rPr>
          <w:rFonts w:ascii="Arial" w:eastAsia="Arial" w:hAnsi="Arial" w:cs="Arial"/>
          <w:b/>
          <w:i/>
          <w:sz w:val="28"/>
          <w:szCs w:val="28"/>
        </w:rPr>
        <w:t>Le tout sans impact budgétaire</w:t>
      </w:r>
    </w:p>
    <w:p w14:paraId="388F60B5" w14:textId="77777777" w:rsidR="00860581" w:rsidRDefault="00000000">
      <w:pPr>
        <w:spacing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STRUCTURE DES TEXTES</w:t>
      </w:r>
    </w:p>
    <w:tbl>
      <w:tblPr>
        <w:tblStyle w:val="a"/>
        <w:tblW w:w="1415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18"/>
        <w:gridCol w:w="4719"/>
        <w:gridCol w:w="4716"/>
      </w:tblGrid>
      <w:tr w:rsidR="00860581" w14:paraId="34895734" w14:textId="77777777">
        <w:trPr>
          <w:trHeight w:val="1408"/>
        </w:trPr>
        <w:tc>
          <w:tcPr>
            <w:tcW w:w="4718" w:type="dxa"/>
          </w:tcPr>
          <w:p w14:paraId="6F7DC98F" w14:textId="77777777" w:rsidR="00860581" w:rsidRDefault="0086058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7AA6092" w14:textId="77777777" w:rsidR="00860581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Décret relatif à la coordination de l’accueil des enfants durant leur temps libre et au soutien de l’accueil extrascolaire</w:t>
            </w:r>
          </w:p>
          <w:p w14:paraId="6E4790FC" w14:textId="77777777" w:rsidR="00860581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(3 juillet 2003)</w:t>
            </w:r>
          </w:p>
          <w:p w14:paraId="4A920C7B" w14:textId="77777777" w:rsidR="00860581" w:rsidRDefault="0086058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719" w:type="dxa"/>
          </w:tcPr>
          <w:p w14:paraId="5FF5AB1D" w14:textId="77777777" w:rsidR="00860581" w:rsidRDefault="0086058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EB26EF8" w14:textId="77777777" w:rsidR="00860581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Décret relatif à la reconnaissance et au soutien des écoles de devoirs</w:t>
            </w:r>
          </w:p>
          <w:p w14:paraId="4E580E76" w14:textId="77777777" w:rsidR="00860581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(28 avril 2004)</w:t>
            </w:r>
          </w:p>
        </w:tc>
        <w:tc>
          <w:tcPr>
            <w:tcW w:w="4716" w:type="dxa"/>
          </w:tcPr>
          <w:p w14:paraId="232FB423" w14:textId="77777777" w:rsidR="00860581" w:rsidRDefault="0086058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81E726F" w14:textId="77777777" w:rsidR="00860581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Décret relatif aux centres de vacances</w:t>
            </w:r>
          </w:p>
          <w:p w14:paraId="431916B8" w14:textId="77777777" w:rsidR="00860581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(30 novembre 1999)</w:t>
            </w:r>
          </w:p>
        </w:tc>
      </w:tr>
      <w:tr w:rsidR="00860581" w14:paraId="7F45E606" w14:textId="77777777">
        <w:tc>
          <w:tcPr>
            <w:tcW w:w="4718" w:type="dxa"/>
          </w:tcPr>
          <w:p w14:paraId="13E32EE0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lightGray"/>
              </w:rPr>
              <w:t>Chapitre 1</w:t>
            </w:r>
            <w:r>
              <w:rPr>
                <w:rFonts w:ascii="Arial" w:eastAsia="Arial" w:hAnsi="Arial" w:cs="Arial"/>
                <w:sz w:val="24"/>
                <w:szCs w:val="24"/>
                <w:highlight w:val="lightGray"/>
                <w:vertAlign w:val="superscript"/>
              </w:rPr>
              <w:t>er</w:t>
            </w:r>
            <w:r>
              <w:rPr>
                <w:rFonts w:ascii="Arial" w:eastAsia="Arial" w:hAnsi="Arial" w:cs="Arial"/>
                <w:sz w:val="24"/>
                <w:szCs w:val="24"/>
                <w:highlight w:val="lightGray"/>
              </w:rPr>
              <w:t xml:space="preserve"> - Dispositions générales</w:t>
            </w:r>
          </w:p>
          <w:p w14:paraId="0D89F7B5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F0944E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lightGray"/>
              </w:rPr>
              <w:t>Article 1</w:t>
            </w:r>
            <w:r>
              <w:rPr>
                <w:rFonts w:ascii="Arial" w:eastAsia="Arial" w:hAnsi="Arial" w:cs="Arial"/>
                <w:sz w:val="24"/>
                <w:szCs w:val="24"/>
                <w:highlight w:val="lightGray"/>
                <w:vertAlign w:val="superscript"/>
              </w:rPr>
              <w:t>er</w:t>
            </w:r>
            <w:r>
              <w:rPr>
                <w:rFonts w:ascii="Arial" w:eastAsia="Arial" w:hAnsi="Arial" w:cs="Arial"/>
                <w:sz w:val="24"/>
                <w:szCs w:val="24"/>
                <w:highlight w:val="lightGray"/>
              </w:rPr>
              <w:t xml:space="preserve"> = définitions</w:t>
            </w:r>
          </w:p>
          <w:p w14:paraId="287614A2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5024958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lightGray"/>
              </w:rPr>
              <w:t>Article 2 = champ d’application</w:t>
            </w:r>
          </w:p>
          <w:p w14:paraId="53C486AD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56F8AF1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lightGray"/>
              </w:rPr>
              <w:t>Article 3 = objectifs</w:t>
            </w:r>
          </w:p>
          <w:p w14:paraId="13320F34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27DF498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lightGray"/>
              </w:rPr>
              <w:t>Article 4 = mise en œuvre assurée par l’ONE</w:t>
            </w:r>
          </w:p>
          <w:p w14:paraId="351D0F43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6DF3EFB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Article 5 = engagement de la commune</w:t>
            </w:r>
          </w:p>
        </w:tc>
        <w:tc>
          <w:tcPr>
            <w:tcW w:w="4719" w:type="dxa"/>
          </w:tcPr>
          <w:p w14:paraId="2D7FF229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lightGray"/>
              </w:rPr>
              <w:t>Chapitre 1</w:t>
            </w:r>
            <w:r>
              <w:rPr>
                <w:rFonts w:ascii="Arial" w:eastAsia="Arial" w:hAnsi="Arial" w:cs="Arial"/>
                <w:sz w:val="24"/>
                <w:szCs w:val="24"/>
                <w:highlight w:val="lightGray"/>
                <w:vertAlign w:val="superscript"/>
              </w:rPr>
              <w:t>er</w:t>
            </w:r>
            <w:r>
              <w:rPr>
                <w:rFonts w:ascii="Arial" w:eastAsia="Arial" w:hAnsi="Arial" w:cs="Arial"/>
                <w:sz w:val="24"/>
                <w:szCs w:val="24"/>
                <w:highlight w:val="lightGray"/>
              </w:rPr>
              <w:t xml:space="preserve"> - Dispositions générales</w:t>
            </w:r>
          </w:p>
          <w:p w14:paraId="2079D39B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CB7AA6F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lightGray"/>
              </w:rPr>
              <w:t>Article 1</w:t>
            </w:r>
            <w:r>
              <w:rPr>
                <w:rFonts w:ascii="Arial" w:eastAsia="Arial" w:hAnsi="Arial" w:cs="Arial"/>
                <w:sz w:val="24"/>
                <w:szCs w:val="24"/>
                <w:highlight w:val="lightGray"/>
                <w:vertAlign w:val="superscript"/>
              </w:rPr>
              <w:t>er</w:t>
            </w:r>
            <w:r>
              <w:rPr>
                <w:rFonts w:ascii="Arial" w:eastAsia="Arial" w:hAnsi="Arial" w:cs="Arial"/>
                <w:sz w:val="24"/>
                <w:szCs w:val="24"/>
                <w:highlight w:val="lightGray"/>
              </w:rPr>
              <w:t xml:space="preserve"> = définitions</w:t>
            </w:r>
          </w:p>
          <w:p w14:paraId="2D126F51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7454E2B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lightGray"/>
              </w:rPr>
              <w:t>Article 2 = missions</w:t>
            </w:r>
          </w:p>
          <w:p w14:paraId="78D495FE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E8B3154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Article 3 = interdictions et obligations </w:t>
            </w:r>
          </w:p>
          <w:p w14:paraId="0CF02754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42183C0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716" w:type="dxa"/>
          </w:tcPr>
          <w:p w14:paraId="44C84C78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Chapitre 1</w:t>
            </w:r>
            <w:r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er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– Champ d’application et </w:t>
            </w:r>
            <w:r>
              <w:rPr>
                <w:rFonts w:ascii="Arial" w:eastAsia="Arial" w:hAnsi="Arial" w:cs="Arial"/>
                <w:sz w:val="24"/>
                <w:szCs w:val="24"/>
                <w:highlight w:val="lightGray"/>
              </w:rPr>
              <w:t>objectifs</w:t>
            </w:r>
          </w:p>
          <w:p w14:paraId="532A6AD7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D518C61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  <w:highlight w:val="lightGray"/>
              </w:rPr>
              <w:t>rticle 1</w:t>
            </w:r>
            <w:r>
              <w:rPr>
                <w:rFonts w:ascii="Arial" w:eastAsia="Arial" w:hAnsi="Arial" w:cs="Arial"/>
                <w:sz w:val="24"/>
                <w:szCs w:val="24"/>
                <w:highlight w:val="lightGray"/>
                <w:vertAlign w:val="superscript"/>
              </w:rPr>
              <w:t>er</w:t>
            </w:r>
            <w:r>
              <w:rPr>
                <w:rFonts w:ascii="Arial" w:eastAsia="Arial" w:hAnsi="Arial" w:cs="Arial"/>
                <w:sz w:val="24"/>
                <w:szCs w:val="24"/>
                <w:highlight w:val="lightGray"/>
              </w:rPr>
              <w:t xml:space="preserve"> = champ d’application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5C8329A5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EE198ED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  <w:highlight w:val="lightGray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lightGray"/>
              </w:rPr>
              <w:t>Article 2 = définitions</w:t>
            </w:r>
          </w:p>
          <w:p w14:paraId="1FB48AD9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  <w:highlight w:val="lightGray"/>
              </w:rPr>
            </w:pPr>
          </w:p>
          <w:p w14:paraId="6C3F7CFF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lightGray"/>
              </w:rPr>
              <w:t>Article 3 = missions</w:t>
            </w:r>
          </w:p>
          <w:p w14:paraId="5AAB3E7E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6894B5A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Article 4 = périodes couvertes</w:t>
            </w:r>
          </w:p>
          <w:p w14:paraId="0C1CA4E6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1EEBFEE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lightGray"/>
              </w:rPr>
              <w:t>Article 4 bis = mise en œuvre par l’ONE</w:t>
            </w:r>
          </w:p>
        </w:tc>
      </w:tr>
      <w:tr w:rsidR="00860581" w14:paraId="3A7F9D97" w14:textId="77777777">
        <w:tc>
          <w:tcPr>
            <w:tcW w:w="4718" w:type="dxa"/>
          </w:tcPr>
          <w:p w14:paraId="379668D8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Chapitre II – De la CCA</w:t>
            </w:r>
          </w:p>
          <w:p w14:paraId="2040F944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7A77486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sz w:val="24"/>
                <w:szCs w:val="24"/>
              </w:rPr>
              <w:t>Article 6 = CCA</w:t>
            </w:r>
          </w:p>
          <w:p w14:paraId="6E2E3C2D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EC78228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Article 7 =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Etat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des lieux</w:t>
            </w:r>
          </w:p>
          <w:p w14:paraId="46D92374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331FAC6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Articles 8 à 11 = élaboration Programme CLE, plan d’action annuel et rapport d’activité</w:t>
            </w:r>
          </w:p>
        </w:tc>
        <w:tc>
          <w:tcPr>
            <w:tcW w:w="4719" w:type="dxa"/>
          </w:tcPr>
          <w:p w14:paraId="7F6E4B67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lightGray"/>
              </w:rPr>
              <w:t>Chapitre II – De la reconnaissance</w:t>
            </w:r>
          </w:p>
          <w:p w14:paraId="454FA794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BDCA7AB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Section 1</w:t>
            </w:r>
            <w:r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ère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– Dispositions générales relatives à la reconnaissance</w:t>
            </w:r>
          </w:p>
          <w:p w14:paraId="7B1908DC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A75D38A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Article 4 = demande de reconnaissance</w:t>
            </w:r>
          </w:p>
          <w:p w14:paraId="65411319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Article 5 = durée de validité de la reconnaissance</w:t>
            </w:r>
          </w:p>
          <w:p w14:paraId="0C86883E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025640E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Article 6 = refus de reconnaissance</w:t>
            </w:r>
          </w:p>
          <w:p w14:paraId="557C2309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658E1B8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Section 2 – De la reconnaissance des EDD</w:t>
            </w:r>
          </w:p>
          <w:p w14:paraId="6AD81453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E90B51A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Article 7 = critères administratifs liés au Pouvoir organisateur</w:t>
            </w:r>
          </w:p>
          <w:p w14:paraId="10809784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0415A2D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Section 3 – De la reconnaissance des coordinations régionales d’EDD</w:t>
            </w:r>
          </w:p>
          <w:p w14:paraId="562D452A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1C34DC7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Article 8 = ressorts territoriaux</w:t>
            </w:r>
          </w:p>
          <w:p w14:paraId="5C8B85E3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F9C30F3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Article 9 = critères pédagogiques liés à la coordination régionale</w:t>
            </w:r>
          </w:p>
          <w:p w14:paraId="560ED229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1A160B7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Section 4 – De la reconnaissance d’une fédération communautaire des EDD</w:t>
            </w:r>
          </w:p>
          <w:p w14:paraId="7707FC95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871D180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Article 10 = reconnaissance d’une fédération communautaire des EDD</w:t>
            </w:r>
          </w:p>
          <w:p w14:paraId="117EC83C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7D46A22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Article 11 = critères pédagogiques liés à la fédération communautaire</w:t>
            </w:r>
          </w:p>
        </w:tc>
        <w:tc>
          <w:tcPr>
            <w:tcW w:w="4716" w:type="dxa"/>
          </w:tcPr>
          <w:p w14:paraId="3AF86701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lightGray"/>
              </w:rPr>
              <w:lastRenderedPageBreak/>
              <w:t>Chapitre II – De la qualification de l’encadrement</w:t>
            </w:r>
          </w:p>
          <w:p w14:paraId="6694643B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5D62796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Article 5 = personnel qualifié : animateur, coordinateur, responsable – assimilations</w:t>
            </w:r>
          </w:p>
          <w:p w14:paraId="63B9A4DE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3F6D0C2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Article 5 bis = brevet d’animateur et de coordinateur - formation - équivalence</w:t>
            </w:r>
          </w:p>
          <w:p w14:paraId="0EB382D6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7AF15D9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Article 6 = âge et bonnes vie et mœurs</w:t>
            </w:r>
          </w:p>
          <w:p w14:paraId="32E5F1F6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A8032D3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32A94ED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3A044DA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67E4997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5DA235D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C8B63C6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60581" w14:paraId="321C8C77" w14:textId="77777777">
        <w:tc>
          <w:tcPr>
            <w:tcW w:w="4718" w:type="dxa"/>
          </w:tcPr>
          <w:p w14:paraId="4CCD6AAB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Chapitre III – Du Programme CLE</w:t>
            </w:r>
          </w:p>
          <w:p w14:paraId="7F820087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95B3627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Section 1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ère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-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Généralités</w:t>
            </w:r>
          </w:p>
          <w:p w14:paraId="7B393A6D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D8353A5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Articles 12 à 14 = définition Programme CLE, pour quels enfants et quelles périodes</w:t>
            </w:r>
          </w:p>
          <w:p w14:paraId="122CB816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89EE0FC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Section 2 – Du contenu du programme CLE</w:t>
            </w:r>
          </w:p>
          <w:p w14:paraId="6229F7D7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F15DA34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Article 15 = contenu PCLE</w:t>
            </w:r>
          </w:p>
          <w:p w14:paraId="0460FAB3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77E579B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 xml:space="preserve">NDLR : c’est ici qu’apparait la mention relative à l’éventuelle demande 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lastRenderedPageBreak/>
              <w:t>d’agrément à introduire par l’opérateur de l’accueil qui participe au programme CLE</w:t>
            </w:r>
          </w:p>
        </w:tc>
        <w:tc>
          <w:tcPr>
            <w:tcW w:w="4719" w:type="dxa"/>
          </w:tcPr>
          <w:p w14:paraId="64F3A016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lightGray"/>
              </w:rPr>
              <w:lastRenderedPageBreak/>
              <w:t>Chapitre III – De l’encadrement en EDD</w:t>
            </w:r>
          </w:p>
          <w:p w14:paraId="71515078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788FBAF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Section 1</w:t>
            </w:r>
            <w:r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ère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– Dispositions générales et définitions</w:t>
            </w:r>
          </w:p>
          <w:p w14:paraId="3D2C5E96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A357D8D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Article 12  = équipe d’animation et personnel qualifié (animateur – coordinateur)</w:t>
            </w:r>
          </w:p>
          <w:p w14:paraId="211E7AFE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96123EA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Article 13 = bonnes vie et mœurs</w:t>
            </w:r>
          </w:p>
          <w:p w14:paraId="0EAB7FFC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4598DF5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Section 2 - De la formation qualifiante des animateurs en écoles de devoirs et des coordinateurs d'écoles de devoirs, des assimilations et des équivalences de brevet</w:t>
            </w:r>
          </w:p>
          <w:p w14:paraId="5AA7DEAC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516512F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Article 14 = formations qualifiantes ► brevet d’animateur et de coordinateur</w:t>
            </w:r>
          </w:p>
          <w:p w14:paraId="74357D12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30C0543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Article 15 = suivi de la mise en œuvre des formations</w:t>
            </w:r>
          </w:p>
          <w:p w14:paraId="3F32C091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91263BA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Article 16 = équivalence au brevet d’animateur et de coordinateur</w:t>
            </w:r>
          </w:p>
        </w:tc>
        <w:tc>
          <w:tcPr>
            <w:tcW w:w="4716" w:type="dxa"/>
          </w:tcPr>
          <w:p w14:paraId="7188A35E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lightGray"/>
              </w:rPr>
              <w:lastRenderedPageBreak/>
              <w:t>Chapitre III – De l’agrément</w:t>
            </w:r>
          </w:p>
          <w:p w14:paraId="21F05452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BDF9B58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Article 6 bis = agrément</w:t>
            </w:r>
          </w:p>
          <w:p w14:paraId="6C57325E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8343137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Article 7 = conditions d’agrément</w:t>
            </w:r>
          </w:p>
          <w:p w14:paraId="3550E891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BF6D77E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Article 8 = retrait d’agrément</w:t>
            </w:r>
          </w:p>
          <w:p w14:paraId="47B5EE4A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9836DEB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Article 9 = Gouvernement : procédure d’octroi/retrait d’agrément, durée de validité, procédure de recours</w:t>
            </w:r>
          </w:p>
        </w:tc>
      </w:tr>
      <w:tr w:rsidR="00860581" w14:paraId="72160589" w14:textId="77777777">
        <w:tc>
          <w:tcPr>
            <w:tcW w:w="4718" w:type="dxa"/>
          </w:tcPr>
          <w:p w14:paraId="0C457EA3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Chapitre IV – De la qualité au sein du Programme CLE/De la qualité de l’accueil</w:t>
            </w:r>
          </w:p>
          <w:p w14:paraId="6117D8AD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AE05E27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lightGray"/>
              </w:rPr>
              <w:t>Section 1</w:t>
            </w:r>
            <w:r>
              <w:rPr>
                <w:rFonts w:ascii="Arial" w:eastAsia="Arial" w:hAnsi="Arial" w:cs="Arial"/>
                <w:sz w:val="24"/>
                <w:szCs w:val="24"/>
                <w:highlight w:val="lightGray"/>
                <w:vertAlign w:val="superscript"/>
              </w:rPr>
              <w:t>ère</w:t>
            </w:r>
            <w:r>
              <w:rPr>
                <w:rFonts w:ascii="Arial" w:eastAsia="Arial" w:hAnsi="Arial" w:cs="Arial"/>
                <w:sz w:val="24"/>
                <w:szCs w:val="24"/>
                <w:highlight w:val="lightGray"/>
              </w:rPr>
              <w:t xml:space="preserve"> – De l’encadrement</w:t>
            </w:r>
          </w:p>
          <w:p w14:paraId="3C89014B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F036F4A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Article 16 = présences à garantir ou à « tendre vers » (resp.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et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acc.)</w:t>
            </w:r>
          </w:p>
          <w:p w14:paraId="71D149F0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50E774C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Article 17 = CATL</w:t>
            </w:r>
          </w:p>
          <w:p w14:paraId="170362DF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7F4CAB1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Section 2 – De la formation du personnel</w:t>
            </w:r>
          </w:p>
          <w:p w14:paraId="0510E5A9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4473386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Article 18 = personnel qualifié, acc.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et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resp.</w:t>
            </w:r>
          </w:p>
          <w:p w14:paraId="6A907F2F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46C104E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Article 19 = dérogations et assimilations</w:t>
            </w:r>
          </w:p>
          <w:p w14:paraId="00BA5F33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8E2D95C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Article 20 = formation continue</w:t>
            </w:r>
          </w:p>
          <w:p w14:paraId="01B949E3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719" w:type="dxa"/>
          </w:tcPr>
          <w:p w14:paraId="3C542F91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lightGray"/>
              </w:rPr>
              <w:t>Chapitre IV – Des subventions</w:t>
            </w:r>
          </w:p>
          <w:p w14:paraId="04B1A250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DAC9494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Section 1 – Des subventions aux écoles de devoirs</w:t>
            </w:r>
          </w:p>
          <w:p w14:paraId="50CCD079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C66A293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Article 17 = conditions de subventionnement</w:t>
            </w:r>
          </w:p>
          <w:p w14:paraId="6877BB77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45FAACE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Article 18 = types de dépenses couvertes</w:t>
            </w:r>
          </w:p>
          <w:p w14:paraId="75289439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0CB446C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lightGray"/>
              </w:rPr>
              <w:t>Article 18 bis = cadastre de l’emploi</w:t>
            </w:r>
          </w:p>
          <w:p w14:paraId="010CA480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D0F7DFE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Article 18 ter = recours</w:t>
            </w:r>
          </w:p>
          <w:p w14:paraId="36615BA8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0060DED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Article 18/1 = subvention de lancement</w:t>
            </w:r>
          </w:p>
          <w:p w14:paraId="13512B65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BFA838E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Section 2 - Des subventions aux coordinations régionales d'écoles de devoirs et à la fédération communautaire des écoles de devoirs</w:t>
            </w:r>
          </w:p>
          <w:p w14:paraId="4495AB76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CDFB5A5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Article 19 = subvention forfaitaire annuelle coordination régionale</w:t>
            </w:r>
          </w:p>
          <w:p w14:paraId="6D48445E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873CAA7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Article 20 = subvention forfaitaire annuelle Fédération communautaire</w:t>
            </w:r>
          </w:p>
          <w:p w14:paraId="5D322FEC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96566F8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Article 21 = justification des subventions</w:t>
            </w:r>
          </w:p>
          <w:p w14:paraId="722C2A0F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35665DB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lightGray"/>
              </w:rPr>
              <w:t>Article 21 bis = cadastre de l’emploi</w:t>
            </w:r>
          </w:p>
          <w:p w14:paraId="448E4552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1062E90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Article 21 ter = recours</w:t>
            </w:r>
          </w:p>
        </w:tc>
        <w:tc>
          <w:tcPr>
            <w:tcW w:w="4716" w:type="dxa"/>
          </w:tcPr>
          <w:p w14:paraId="053500A4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lightGray"/>
              </w:rPr>
              <w:lastRenderedPageBreak/>
              <w:t>Chapitre IV = Des subventions</w:t>
            </w:r>
          </w:p>
          <w:p w14:paraId="5D663B24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5F7AA52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Article 10 = conditions de subventionnement</w:t>
            </w:r>
          </w:p>
          <w:p w14:paraId="794DE83F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CD3BEA2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Article 11 = subvention d’encadrement</w:t>
            </w:r>
          </w:p>
          <w:p w14:paraId="22452F89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33D56B6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Article 12 = subvention de fonctionnement</w:t>
            </w:r>
          </w:p>
          <w:p w14:paraId="733469F1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CD13CFC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Article 13 = modalités de liquidation des subventions</w:t>
            </w:r>
          </w:p>
          <w:p w14:paraId="421D61E5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C415991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60581" w14:paraId="51713E1E" w14:textId="77777777">
        <w:tc>
          <w:tcPr>
            <w:tcW w:w="4718" w:type="dxa"/>
          </w:tcPr>
          <w:p w14:paraId="51DF4E55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Chapitre V – de l’agrément</w:t>
            </w:r>
          </w:p>
          <w:p w14:paraId="7ECCEC91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69C60C7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Section 1</w:t>
            </w:r>
            <w:r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ère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– De la Commission d’agrément</w:t>
            </w:r>
          </w:p>
          <w:p w14:paraId="08396D91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E2CFACA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Articles 21 à 22 = mission, composition</w:t>
            </w:r>
          </w:p>
          <w:p w14:paraId="3E9DEA2E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B2DB589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Section 2 - De l’agrément du programme CLE</w:t>
            </w:r>
          </w:p>
          <w:p w14:paraId="339A25E8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BAD06A7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Articles 23 à 26 = procédure et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timing</w:t>
            </w:r>
            <w:proofErr w:type="gramEnd"/>
          </w:p>
          <w:p w14:paraId="77E5188B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AEB9192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lightGray"/>
              </w:rPr>
              <w:t>Section 3 – De l’agrément des opérateurs d’accueil</w:t>
            </w:r>
          </w:p>
          <w:p w14:paraId="2A3C584B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8140F4F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Article 27 = conditions, portée, dérogations (AES 2), refus et recours</w:t>
            </w:r>
          </w:p>
          <w:p w14:paraId="649C3046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6F4E0D1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Section 4 – Du retrait d’agrément du Programme CLE</w:t>
            </w:r>
          </w:p>
          <w:p w14:paraId="0B61A7A4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C68FFC4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Article 28 = procédure</w:t>
            </w:r>
          </w:p>
          <w:p w14:paraId="2328DD18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1B6A1DB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Section 5 – Du retrait d’agrément d’un opérateur de l’accueil</w:t>
            </w:r>
          </w:p>
          <w:p w14:paraId="066C3AFC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11F82BC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Article 29 = procédure</w:t>
            </w:r>
          </w:p>
          <w:p w14:paraId="30E707B7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A1FD1C6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Section 6 – de l’évaluation et de la modification du Programme CLE</w:t>
            </w:r>
          </w:p>
          <w:p w14:paraId="21BF5330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3E727C0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Article 30 = procédure d’évaluation</w:t>
            </w:r>
          </w:p>
          <w:p w14:paraId="15ECC1A3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6CD53F2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Article 31 = procédure de modification du programme CLE</w:t>
            </w:r>
          </w:p>
        </w:tc>
        <w:tc>
          <w:tcPr>
            <w:tcW w:w="4719" w:type="dxa"/>
          </w:tcPr>
          <w:p w14:paraId="7E1A3A8F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Chapitre V - Du contrôle, de l'accompagnement et de l'évaluation des écoles de devoirs, des coordinations régionales des écoles de devoirs et de la fédération communautaire des écoles de devoirs</w:t>
            </w:r>
          </w:p>
          <w:p w14:paraId="4F45835F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8CDC46E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Article 22 = EDD : rapport d’activité et registre des présences des enfants et des animateurs</w:t>
            </w:r>
          </w:p>
          <w:p w14:paraId="48F57F89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D2A80DE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Article 23 = CR et FC : rapport d’activité</w:t>
            </w:r>
          </w:p>
          <w:p w14:paraId="329E6CD0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2C128D4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Article 24 = Observatoire : état des lieux</w:t>
            </w:r>
          </w:p>
          <w:p w14:paraId="47480882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17B459C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Article 25 = ONE : accompagnement et contrôle des EDD</w:t>
            </w:r>
          </w:p>
          <w:p w14:paraId="612A4F1B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F29AC0E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Article 26 = DG Culture MCF: évaluation et contrôle des CR et FC</w:t>
            </w:r>
          </w:p>
          <w:p w14:paraId="6CBA687B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64716E4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0460B5C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A2E9CCB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716" w:type="dxa"/>
          </w:tcPr>
          <w:p w14:paraId="3941DF74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Chapitre V = Dispositions particulières</w:t>
            </w:r>
          </w:p>
          <w:p w14:paraId="2F263876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850E01B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Article 14 = accueil d’enfants issus de milieux ou de zones défavorisées</w:t>
            </w:r>
          </w:p>
          <w:p w14:paraId="01B25277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1124CDD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Article 15 = accueil d’enfants handicapés</w:t>
            </w:r>
          </w:p>
          <w:p w14:paraId="261B8584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8DDF186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Article 15 bis = accueil d’enfants handicapés qui ne peuvent participer à des activités habituelles</w:t>
            </w:r>
          </w:p>
          <w:p w14:paraId="4587499E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220051E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lightGray"/>
              </w:rPr>
              <w:t>Article 15 ter = cadastre de l’emploi</w:t>
            </w:r>
          </w:p>
        </w:tc>
      </w:tr>
      <w:tr w:rsidR="00860581" w14:paraId="32C800DE" w14:textId="77777777">
        <w:tc>
          <w:tcPr>
            <w:tcW w:w="4718" w:type="dxa"/>
          </w:tcPr>
          <w:p w14:paraId="0068E63C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Chapitre VI – De la participation financière des personnes qui confient les enfants</w:t>
            </w:r>
          </w:p>
          <w:p w14:paraId="53553D66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8215557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Article 32 = principes et modalités</w:t>
            </w:r>
          </w:p>
        </w:tc>
        <w:tc>
          <w:tcPr>
            <w:tcW w:w="4719" w:type="dxa"/>
          </w:tcPr>
          <w:p w14:paraId="01D39FF5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Chapitre VI – De la Commission d’avis sur les écoles de devoirs</w:t>
            </w:r>
          </w:p>
          <w:p w14:paraId="2EAC3A12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03C83A2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Article 27 = mission</w:t>
            </w:r>
          </w:p>
          <w:p w14:paraId="4C92A615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0FA515E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Article 28 = composition</w:t>
            </w:r>
          </w:p>
        </w:tc>
        <w:tc>
          <w:tcPr>
            <w:tcW w:w="4716" w:type="dxa"/>
          </w:tcPr>
          <w:p w14:paraId="0E103F8B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Chapitre VI – Du contrôle et de l’évaluation</w:t>
            </w:r>
          </w:p>
          <w:p w14:paraId="20627A69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CFEC97C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Article 16 = Gouvernement : contrôle et accompagnement</w:t>
            </w:r>
          </w:p>
          <w:p w14:paraId="558494DA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A4F644F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Article 17 = Commission d’avis : évaluation</w:t>
            </w:r>
          </w:p>
        </w:tc>
      </w:tr>
      <w:tr w:rsidR="00860581" w14:paraId="06750E30" w14:textId="77777777">
        <w:tc>
          <w:tcPr>
            <w:tcW w:w="4718" w:type="dxa"/>
          </w:tcPr>
          <w:p w14:paraId="3DD61A24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Chapitre VII – Du financement des Programmes CLE et des opérateurs de l’accueil par la Communauté française</w:t>
            </w:r>
          </w:p>
          <w:p w14:paraId="59B5BA95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BC3C85D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Section 1</w:t>
            </w:r>
            <w:r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ère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– De la formation</w:t>
            </w:r>
          </w:p>
          <w:p w14:paraId="10EA5049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816B25A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Article 33 = subvention des organismes de formation agréés</w:t>
            </w:r>
          </w:p>
          <w:p w14:paraId="69C4D227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EBF097F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Section 2 – Des subventions de coordination au sein des programmes CLE</w:t>
            </w:r>
          </w:p>
          <w:p w14:paraId="41DC131F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2D658C4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Article 34 = subvention annuelle forfaitaire de coordination ATL</w:t>
            </w:r>
          </w:p>
          <w:p w14:paraId="64181C23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BFC48C1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lightGray"/>
              </w:rPr>
              <w:t>Section 3 – des subventions aux opérateurs de l’accueil</w:t>
            </w:r>
          </w:p>
          <w:p w14:paraId="687FC603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8DC603F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Sous-section 1</w:t>
            </w:r>
            <w:r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ère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- Du fonctionnement de l’AES</w:t>
            </w:r>
          </w:p>
          <w:p w14:paraId="09650DBB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4CC854C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Article 35 = modalités de subventionnement du fonctionnement de l’AES (frais de fonctionnement et frais d’engagement de personnel)</w:t>
            </w:r>
          </w:p>
          <w:p w14:paraId="3522573A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17922C4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Sous-section 1</w:t>
            </w:r>
            <w:r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 xml:space="preserve">ère </w:t>
            </w:r>
            <w:r>
              <w:rPr>
                <w:rFonts w:ascii="Arial" w:eastAsia="Arial" w:hAnsi="Arial" w:cs="Arial"/>
                <w:sz w:val="24"/>
                <w:szCs w:val="24"/>
              </w:rPr>
              <w:t>/1 - Du fonctionnement de l’AES flexible</w:t>
            </w:r>
          </w:p>
          <w:p w14:paraId="1F3772C0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D39F669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Article 35/1 = modalités de subventionnement du fonctionnement de l’AES flexible</w:t>
            </w:r>
          </w:p>
          <w:p w14:paraId="23AEE423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772E793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Sous-section 2 – De la différenciation positive et de l’impulsion</w:t>
            </w:r>
          </w:p>
          <w:p w14:paraId="5E2AADDB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65C9CA4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Article 36 = subventions de différenciation positive</w:t>
            </w:r>
          </w:p>
          <w:p w14:paraId="49F1F4ED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24E0E86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Article 37 = subventions d’impulsion</w:t>
            </w:r>
          </w:p>
        </w:tc>
        <w:tc>
          <w:tcPr>
            <w:tcW w:w="4719" w:type="dxa"/>
          </w:tcPr>
          <w:p w14:paraId="67901021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lightGray"/>
              </w:rPr>
              <w:lastRenderedPageBreak/>
              <w:t>Chapitre VII – Dispositions finales et transitoires</w:t>
            </w:r>
          </w:p>
          <w:p w14:paraId="1CC7BFF2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61B675A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Article 29 = mécanisme d’indexation</w:t>
            </w:r>
          </w:p>
          <w:p w14:paraId="5458C9A0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D3BE879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Article 30 = dispositions transitoires en matière de reconnaissance des EDD</w:t>
            </w:r>
          </w:p>
          <w:p w14:paraId="2E5252A2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738E140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Article 31 = dispositions transitoires en matière de reconnaissance des CR et FC</w:t>
            </w:r>
          </w:p>
          <w:p w14:paraId="4C262A44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F30609F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Article 32 = modification décret portant réforme de l’ONE</w:t>
            </w:r>
          </w:p>
          <w:p w14:paraId="2DF79F83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FAF1FDD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Article 33 = entrée en vigueur</w:t>
            </w:r>
          </w:p>
        </w:tc>
        <w:tc>
          <w:tcPr>
            <w:tcW w:w="4716" w:type="dxa"/>
          </w:tcPr>
          <w:p w14:paraId="4C660866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Chapitre VII – Commission d’avis</w:t>
            </w:r>
          </w:p>
          <w:p w14:paraId="015D03DB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8699105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Article 17 bis = mission, sous-commissions, composition, présidence et secrétariat, réunions, rapport</w:t>
            </w:r>
          </w:p>
          <w:p w14:paraId="34ED49F4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E3AF27B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60581" w14:paraId="46F295D2" w14:textId="77777777">
        <w:tc>
          <w:tcPr>
            <w:tcW w:w="4718" w:type="dxa"/>
          </w:tcPr>
          <w:p w14:paraId="53ADEF13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Chapitre VIII – Des plaintes</w:t>
            </w:r>
          </w:p>
          <w:p w14:paraId="52B9891D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2CDF5E0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Article 38 = qui et où ?</w:t>
            </w:r>
          </w:p>
          <w:p w14:paraId="225E7223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C4D6170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Article 39 = parcours d’une plainte</w:t>
            </w:r>
          </w:p>
        </w:tc>
        <w:tc>
          <w:tcPr>
            <w:tcW w:w="4719" w:type="dxa"/>
          </w:tcPr>
          <w:p w14:paraId="5F9FCC6B" w14:textId="77777777" w:rsidR="00860581" w:rsidRDefault="00860581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</w:tc>
        <w:tc>
          <w:tcPr>
            <w:tcW w:w="4716" w:type="dxa"/>
          </w:tcPr>
          <w:p w14:paraId="107210B2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lightGray"/>
              </w:rPr>
              <w:t>Chapitre VII – Disposition finale</w:t>
            </w:r>
          </w:p>
          <w:p w14:paraId="02F73EC1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22F2D88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Article 18 = entrée en vigueur</w:t>
            </w:r>
          </w:p>
        </w:tc>
      </w:tr>
      <w:tr w:rsidR="00860581" w14:paraId="35AA9A63" w14:textId="77777777">
        <w:tc>
          <w:tcPr>
            <w:tcW w:w="4718" w:type="dxa"/>
          </w:tcPr>
          <w:p w14:paraId="636A7AD8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lightGray"/>
              </w:rPr>
              <w:t>Chapitre IX – Dispositions dérogatoires, transitoires et finales</w:t>
            </w:r>
          </w:p>
          <w:p w14:paraId="06F79D58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45BE985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Article 40 = « zone géographique commune »</w:t>
            </w:r>
          </w:p>
          <w:p w14:paraId="351A8821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5E53AA5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Article 41 = disposition transitoire pour les resp.</w:t>
            </w:r>
          </w:p>
          <w:p w14:paraId="5607B1EB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416662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Article 42 = indice pour la subvention de coordination</w:t>
            </w:r>
          </w:p>
          <w:p w14:paraId="68016131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Article 43 = date de début des subventions d’impulsion</w:t>
            </w:r>
          </w:p>
          <w:p w14:paraId="17FA795C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F0E7724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Article 44 = évaluation de l’application du décret par l’OEJAJ</w:t>
            </w:r>
          </w:p>
          <w:p w14:paraId="68FD8D2C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21DBCCE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Article 45 = entrée en vigueur</w:t>
            </w:r>
          </w:p>
        </w:tc>
        <w:tc>
          <w:tcPr>
            <w:tcW w:w="4719" w:type="dxa"/>
          </w:tcPr>
          <w:p w14:paraId="29E1134A" w14:textId="77777777" w:rsidR="00860581" w:rsidRDefault="00860581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</w:tc>
        <w:tc>
          <w:tcPr>
            <w:tcW w:w="4716" w:type="dxa"/>
          </w:tcPr>
          <w:p w14:paraId="3AADB94D" w14:textId="77777777" w:rsidR="00860581" w:rsidRDefault="00860581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</w:tc>
      </w:tr>
      <w:tr w:rsidR="00860581" w14:paraId="49015835" w14:textId="77777777">
        <w:tc>
          <w:tcPr>
            <w:tcW w:w="4718" w:type="dxa"/>
          </w:tcPr>
          <w:p w14:paraId="6CF19284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Annexe</w:t>
            </w:r>
          </w:p>
          <w:p w14:paraId="0A8EC7E5" w14:textId="77777777" w:rsidR="00860581" w:rsidRDefault="008605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2974C13" w14:textId="77777777" w:rsidR="008605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Canevas état des lieux</w:t>
            </w:r>
          </w:p>
        </w:tc>
        <w:tc>
          <w:tcPr>
            <w:tcW w:w="4719" w:type="dxa"/>
          </w:tcPr>
          <w:p w14:paraId="214E2B01" w14:textId="77777777" w:rsidR="00860581" w:rsidRDefault="00000000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/</w:t>
            </w:r>
          </w:p>
        </w:tc>
        <w:tc>
          <w:tcPr>
            <w:tcW w:w="4716" w:type="dxa"/>
          </w:tcPr>
          <w:p w14:paraId="4ED47E62" w14:textId="77777777" w:rsidR="00860581" w:rsidRDefault="00860581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</w:tc>
      </w:tr>
    </w:tbl>
    <w:p w14:paraId="53A1C497" w14:textId="77777777" w:rsidR="00860581" w:rsidRDefault="00860581">
      <w:pPr>
        <w:spacing w:line="240" w:lineRule="auto"/>
        <w:rPr>
          <w:rFonts w:ascii="Arial" w:eastAsia="Arial" w:hAnsi="Arial" w:cs="Arial"/>
          <w:b/>
          <w:i/>
          <w:sz w:val="28"/>
          <w:szCs w:val="28"/>
        </w:rPr>
      </w:pPr>
    </w:p>
    <w:sectPr w:rsidR="00860581">
      <w:pgSz w:w="16839" w:h="11907" w:orient="landscape"/>
      <w:pgMar w:top="56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6D8A0" w14:textId="77777777" w:rsidR="001815DF" w:rsidRDefault="001815DF">
      <w:pPr>
        <w:spacing w:after="0" w:line="240" w:lineRule="auto"/>
      </w:pPr>
      <w:r>
        <w:separator/>
      </w:r>
    </w:p>
  </w:endnote>
  <w:endnote w:type="continuationSeparator" w:id="0">
    <w:p w14:paraId="44498126" w14:textId="77777777" w:rsidR="001815DF" w:rsidRDefault="0018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9910E" w14:textId="77777777" w:rsidR="0086058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60B38">
      <w:rPr>
        <w:noProof/>
        <w:color w:val="000000"/>
      </w:rPr>
      <w:t>1</w:t>
    </w:r>
    <w:r>
      <w:rPr>
        <w:color w:val="000000"/>
      </w:rPr>
      <w:fldChar w:fldCharType="end"/>
    </w:r>
  </w:p>
  <w:p w14:paraId="0F7EB8CE" w14:textId="77777777" w:rsidR="00860581" w:rsidRDefault="008605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5D855" w14:textId="77777777" w:rsidR="001815DF" w:rsidRDefault="001815DF">
      <w:pPr>
        <w:spacing w:after="0" w:line="240" w:lineRule="auto"/>
      </w:pPr>
      <w:r>
        <w:separator/>
      </w:r>
    </w:p>
  </w:footnote>
  <w:footnote w:type="continuationSeparator" w:id="0">
    <w:p w14:paraId="52444288" w14:textId="77777777" w:rsidR="001815DF" w:rsidRDefault="00181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906D9"/>
    <w:multiLevelType w:val="multilevel"/>
    <w:tmpl w:val="EA2093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75667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581"/>
    <w:rsid w:val="001815DF"/>
    <w:rsid w:val="007614DC"/>
    <w:rsid w:val="00860581"/>
    <w:rsid w:val="00F6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488B0"/>
  <w15:docId w15:val="{92B2EAF2-3114-41F2-B923-EBA9B1AD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2662E7"/>
    <w:pPr>
      <w:ind w:left="720"/>
      <w:contextualSpacing/>
    </w:pPr>
  </w:style>
  <w:style w:type="table" w:styleId="Grilledutableau">
    <w:name w:val="Table Grid"/>
    <w:basedOn w:val="TableauNormal"/>
    <w:uiPriority w:val="59"/>
    <w:rsid w:val="00BD0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22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2CCE"/>
  </w:style>
  <w:style w:type="paragraph" w:styleId="Pieddepage">
    <w:name w:val="footer"/>
    <w:basedOn w:val="Normal"/>
    <w:link w:val="PieddepageCar"/>
    <w:uiPriority w:val="99"/>
    <w:unhideWhenUsed/>
    <w:rsid w:val="00A22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2CCE"/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zI8g7ykeq4TAdem9uVjPbL8g/JA==">AMUW2mXDN1aGGlNgDxCBUEalGOgysgi8MCr4zb5vZC+2tCEHdFQRf9xW+eWvsBdDuYk4BTOes6e8VLh7KR3VJXfWrXrbNdiDlTmDWrC38ryrjac0zAYFmOvB+3KXVP642GXrkN3wtKAJ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1395</Words>
  <Characters>7676</Characters>
  <Application>Microsoft Office Word</Application>
  <DocSecurity>0</DocSecurity>
  <Lines>63</Lines>
  <Paragraphs>18</Paragraphs>
  <ScaleCrop>false</ScaleCrop>
  <Company/>
  <LinksUpToDate>false</LinksUpToDate>
  <CharactersWithSpaces>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lefebvre</dc:creator>
  <cp:lastModifiedBy>Coord.PCCATL</cp:lastModifiedBy>
  <cp:revision>2</cp:revision>
  <dcterms:created xsi:type="dcterms:W3CDTF">2023-01-24T14:25:00Z</dcterms:created>
  <dcterms:modified xsi:type="dcterms:W3CDTF">2023-01-24T14:25:00Z</dcterms:modified>
</cp:coreProperties>
</file>