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CA6015" w:rsidRPr="00811D2E" w14:paraId="47E0600A" w14:textId="77777777" w:rsidTr="00CA6015">
        <w:tc>
          <w:tcPr>
            <w:tcW w:w="10632" w:type="dxa"/>
            <w:gridSpan w:val="2"/>
            <w:shd w:val="clear" w:color="auto" w:fill="000000" w:themeFill="text1"/>
          </w:tcPr>
          <w:p w14:paraId="11B3C4D4" w14:textId="77777777" w:rsidR="00CA6015" w:rsidRPr="00BC29FD" w:rsidRDefault="00CA6015" w:rsidP="00A77FF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3892B1D0" w14:textId="77777777" w:rsidR="00CA6015" w:rsidRPr="00CA6015" w:rsidRDefault="00CA6015" w:rsidP="00CA6015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CA6015">
              <w:rPr>
                <w:b/>
                <w:color w:val="FFFFFF" w:themeColor="background1"/>
                <w:sz w:val="48"/>
                <w:szCs w:val="48"/>
              </w:rPr>
              <w:t>Liste des renvois</w:t>
            </w:r>
          </w:p>
          <w:p w14:paraId="6EBC4643" w14:textId="77777777" w:rsidR="00CA6015" w:rsidRPr="00BC29FD" w:rsidRDefault="00CA6015" w:rsidP="00A77FF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A6015" w:rsidRPr="00BC29FD" w14:paraId="43D2BC03" w14:textId="77777777" w:rsidTr="00CA6015">
        <w:tc>
          <w:tcPr>
            <w:tcW w:w="1701" w:type="dxa"/>
          </w:tcPr>
          <w:p w14:paraId="05D14876" w14:textId="77777777" w:rsidR="00CA6015" w:rsidRPr="00BC29FD" w:rsidRDefault="00CA6015" w:rsidP="00CA6015">
            <w:pPr>
              <w:jc w:val="center"/>
              <w:rPr>
                <w:b/>
                <w:sz w:val="28"/>
                <w:szCs w:val="28"/>
              </w:rPr>
            </w:pPr>
            <w:r w:rsidRPr="00BC29FD">
              <w:rPr>
                <w:b/>
                <w:sz w:val="28"/>
                <w:szCs w:val="28"/>
              </w:rPr>
              <w:t>N° du critère</w:t>
            </w:r>
          </w:p>
        </w:tc>
        <w:tc>
          <w:tcPr>
            <w:tcW w:w="8931" w:type="dxa"/>
          </w:tcPr>
          <w:p w14:paraId="48D58EC3" w14:textId="77777777" w:rsidR="00CA6015" w:rsidRPr="00BC29FD" w:rsidRDefault="00CA6015" w:rsidP="00CA6015">
            <w:pPr>
              <w:jc w:val="center"/>
              <w:rPr>
                <w:b/>
                <w:sz w:val="28"/>
                <w:szCs w:val="28"/>
              </w:rPr>
            </w:pPr>
            <w:r w:rsidRPr="00BC29FD">
              <w:rPr>
                <w:b/>
                <w:sz w:val="28"/>
                <w:szCs w:val="28"/>
              </w:rPr>
              <w:t>Informations complémentaires sur le critère</w:t>
            </w:r>
          </w:p>
        </w:tc>
      </w:tr>
      <w:tr w:rsidR="00CA6015" w14:paraId="3F654B50" w14:textId="77777777" w:rsidTr="00CA6015">
        <w:tc>
          <w:tcPr>
            <w:tcW w:w="1701" w:type="dxa"/>
          </w:tcPr>
          <w:p w14:paraId="06838B85" w14:textId="77777777" w:rsidR="00CA6015" w:rsidRPr="00BC29FD" w:rsidRDefault="00CA6015" w:rsidP="00BC29FD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14:paraId="7F8C2B47" w14:textId="77777777" w:rsidR="00CA6015" w:rsidRPr="00603F06" w:rsidRDefault="00CA6015" w:rsidP="00603F06">
            <w:pPr>
              <w:jc w:val="both"/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 xml:space="preserve">Les endroits de stockage (matériel, denrées, déchets,…) ne </w:t>
            </w:r>
            <w:r w:rsidR="00603F06">
              <w:rPr>
                <w:sz w:val="24"/>
                <w:szCs w:val="24"/>
              </w:rPr>
              <w:t>so</w:t>
            </w:r>
            <w:r w:rsidRPr="00603F06">
              <w:rPr>
                <w:sz w:val="24"/>
                <w:szCs w:val="24"/>
              </w:rPr>
              <w:t>nt pas des pièces de séjour</w:t>
            </w:r>
            <w:r w:rsidR="00CC1725">
              <w:rPr>
                <w:sz w:val="24"/>
                <w:szCs w:val="24"/>
              </w:rPr>
              <w:t>.</w:t>
            </w:r>
          </w:p>
        </w:tc>
      </w:tr>
      <w:tr w:rsidR="00CA6015" w14:paraId="264F5CDF" w14:textId="77777777" w:rsidTr="00CA6015">
        <w:tc>
          <w:tcPr>
            <w:tcW w:w="1701" w:type="dxa"/>
          </w:tcPr>
          <w:p w14:paraId="2C07141B" w14:textId="77777777" w:rsidR="00CA6015" w:rsidRPr="00BC29FD" w:rsidRDefault="00CA6015" w:rsidP="00BC29FD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14:paraId="269B13B2" w14:textId="77777777" w:rsidR="00CA6015" w:rsidRPr="00603F06" w:rsidRDefault="00CA6015" w:rsidP="00826324">
            <w:pPr>
              <w:jc w:val="both"/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Si le bâtiment n’a plus accueilli de bétail depuis plus de 5 ans et qu’il est dans un bon état de propreté et d’hygiène, le chaulage n’est pas obligatoire.</w:t>
            </w:r>
          </w:p>
        </w:tc>
      </w:tr>
      <w:tr w:rsidR="00CA6015" w14:paraId="146C9A1C" w14:textId="77777777" w:rsidTr="00CA6015">
        <w:tc>
          <w:tcPr>
            <w:tcW w:w="1701" w:type="dxa"/>
          </w:tcPr>
          <w:p w14:paraId="4DAA9C3F" w14:textId="77777777" w:rsidR="00CA6015" w:rsidRPr="00BC29FD" w:rsidRDefault="00CA6015" w:rsidP="00BC29FD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14:paraId="2538F06F" w14:textId="77777777" w:rsidR="00CA6015" w:rsidRPr="00603F06" w:rsidRDefault="00CA6015" w:rsidP="00D7680D">
            <w:pPr>
              <w:jc w:val="both"/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Au minimum une place par personne en fonction de la capacité de l’endroit de camp.</w:t>
            </w:r>
          </w:p>
        </w:tc>
      </w:tr>
      <w:tr w:rsidR="00CA6015" w14:paraId="6693E78D" w14:textId="77777777" w:rsidTr="00CA6015">
        <w:tc>
          <w:tcPr>
            <w:tcW w:w="1701" w:type="dxa"/>
          </w:tcPr>
          <w:p w14:paraId="2560D819" w14:textId="77777777" w:rsidR="00CA6015" w:rsidRPr="00BC29FD" w:rsidRDefault="00CA6015" w:rsidP="00BC29FD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14:paraId="0F4F0C34" w14:textId="77777777" w:rsidR="00CA6015" w:rsidRPr="00603F06" w:rsidRDefault="00410F5A" w:rsidP="00D7680D">
            <w:pPr>
              <w:jc w:val="both"/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Le stockage des déchets doit se faire dans un endroit fermé ou dans un conteneur destiné seulement à cet effet.</w:t>
            </w:r>
          </w:p>
        </w:tc>
      </w:tr>
      <w:tr w:rsidR="00CA6015" w14:paraId="019B1321" w14:textId="77777777" w:rsidTr="00CA6015">
        <w:tc>
          <w:tcPr>
            <w:tcW w:w="1701" w:type="dxa"/>
          </w:tcPr>
          <w:p w14:paraId="5327030F" w14:textId="77777777" w:rsidR="00CA6015" w:rsidRPr="00BC29FD" w:rsidRDefault="00CA6015" w:rsidP="00BC29FD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14:paraId="1AAD3370" w14:textId="77777777" w:rsidR="00CA6015" w:rsidRPr="00603F06" w:rsidRDefault="00410F5A" w:rsidP="00D7680D">
            <w:pPr>
              <w:jc w:val="both"/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Au minimum une brosse, une raclette, un seau, une ramassette par tranche entamée de 20 personnes.</w:t>
            </w:r>
          </w:p>
        </w:tc>
      </w:tr>
      <w:tr w:rsidR="00CA6015" w14:paraId="4AC9E21C" w14:textId="77777777" w:rsidTr="00CA6015">
        <w:tc>
          <w:tcPr>
            <w:tcW w:w="1701" w:type="dxa"/>
          </w:tcPr>
          <w:p w14:paraId="35397862" w14:textId="77777777" w:rsidR="00CA6015" w:rsidRPr="00BC29FD" w:rsidRDefault="00CA6015" w:rsidP="00BC29FD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14:paraId="78CC258F" w14:textId="77777777" w:rsidR="00CA6015" w:rsidRPr="00603F06" w:rsidRDefault="00410F5A" w:rsidP="00DB0318">
            <w:pPr>
              <w:jc w:val="both"/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 xml:space="preserve">L’accessibilité doit être conforme aux normes législatives en vigueur. (Plus d’information sur </w:t>
            </w:r>
            <w:hyperlink r:id="rId4" w:history="1">
              <w:r w:rsidRPr="00603F06">
                <w:rPr>
                  <w:rStyle w:val="Lienhypertexte"/>
                  <w:sz w:val="24"/>
                  <w:szCs w:val="24"/>
                </w:rPr>
                <w:t>www.awiph.be</w:t>
              </w:r>
            </w:hyperlink>
            <w:r w:rsidRPr="00603F06">
              <w:rPr>
                <w:sz w:val="24"/>
                <w:szCs w:val="24"/>
              </w:rPr>
              <w:t>). Si l’endroit de camp répond à l’ensemble du critère à l’exception d’une douche adaptée, 1 point peut être comptabilisé.</w:t>
            </w:r>
          </w:p>
        </w:tc>
      </w:tr>
      <w:tr w:rsidR="00410F5A" w14:paraId="530FE1EB" w14:textId="77777777" w:rsidTr="00CA6015">
        <w:tc>
          <w:tcPr>
            <w:tcW w:w="1701" w:type="dxa"/>
          </w:tcPr>
          <w:p w14:paraId="3DF437D8" w14:textId="77777777" w:rsidR="00410F5A" w:rsidRPr="00BC29FD" w:rsidRDefault="00410F5A" w:rsidP="00410F5A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14:paraId="5D0F33FB" w14:textId="77777777" w:rsidR="00D22337" w:rsidRDefault="00410F5A" w:rsidP="00410F5A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 xml:space="preserve">Robinets exclusivement réservés pour se laver. </w:t>
            </w:r>
          </w:p>
          <w:p w14:paraId="2B4A0E35" w14:textId="77777777" w:rsidR="00410F5A" w:rsidRPr="00603F06" w:rsidRDefault="00410F5A" w:rsidP="00410F5A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Les robinets situés dans la cuisine ne doivent pas être comptabilisés.</w:t>
            </w:r>
          </w:p>
        </w:tc>
      </w:tr>
      <w:tr w:rsidR="00410F5A" w14:paraId="2866D34D" w14:textId="77777777" w:rsidTr="00CA6015">
        <w:tc>
          <w:tcPr>
            <w:tcW w:w="1701" w:type="dxa"/>
          </w:tcPr>
          <w:p w14:paraId="235AC5F8" w14:textId="77777777" w:rsidR="00410F5A" w:rsidRPr="00BC29FD" w:rsidRDefault="00410F5A" w:rsidP="004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14:paraId="6C698D83" w14:textId="77777777" w:rsidR="00410F5A" w:rsidRPr="00603F06" w:rsidRDefault="00410F5A" w:rsidP="00410F5A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Si le bâtiment possède des urinoirs, l’ensemble de ceux-ci (à partir de 1) seront considérés comme 1 toilette.</w:t>
            </w:r>
          </w:p>
        </w:tc>
      </w:tr>
      <w:tr w:rsidR="00410F5A" w14:paraId="78E62F2D" w14:textId="77777777" w:rsidTr="00CA6015">
        <w:tc>
          <w:tcPr>
            <w:tcW w:w="1701" w:type="dxa"/>
          </w:tcPr>
          <w:p w14:paraId="0BC4FC6E" w14:textId="77777777" w:rsidR="00410F5A" w:rsidRPr="00BC29FD" w:rsidRDefault="00410F5A" w:rsidP="00410F5A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14:paraId="1F14B811" w14:textId="77777777" w:rsidR="00410F5A" w:rsidRPr="00603F06" w:rsidRDefault="00410F5A" w:rsidP="00410F5A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En complément à la norme reprise au point 11 de la grille de classement</w:t>
            </w:r>
            <w:r w:rsidR="00CC1725">
              <w:rPr>
                <w:sz w:val="24"/>
                <w:szCs w:val="24"/>
              </w:rPr>
              <w:t>.</w:t>
            </w:r>
          </w:p>
        </w:tc>
      </w:tr>
      <w:tr w:rsidR="00410F5A" w14:paraId="53658988" w14:textId="77777777" w:rsidTr="00CA6015">
        <w:tc>
          <w:tcPr>
            <w:tcW w:w="1701" w:type="dxa"/>
          </w:tcPr>
          <w:p w14:paraId="31ACCABC" w14:textId="77777777" w:rsidR="00410F5A" w:rsidRPr="00BC29FD" w:rsidRDefault="00410F5A" w:rsidP="00410F5A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14:paraId="4CEA4BAA" w14:textId="77777777" w:rsidR="00410F5A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Cette pièce doit être dédiée exclusivement à cet effet et ne dois pas entrer en ligne de compte pour le nombre de mètres carré au critère n°1.</w:t>
            </w:r>
          </w:p>
        </w:tc>
      </w:tr>
      <w:tr w:rsidR="00410F5A" w14:paraId="42B9B80E" w14:textId="77777777" w:rsidTr="00CA6015">
        <w:tc>
          <w:tcPr>
            <w:tcW w:w="1701" w:type="dxa"/>
          </w:tcPr>
          <w:p w14:paraId="7959F8E6" w14:textId="77777777" w:rsidR="00410F5A" w:rsidRPr="00BC29FD" w:rsidRDefault="00410F5A" w:rsidP="00410F5A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14:paraId="0BAE8F3C" w14:textId="77777777" w:rsidR="00410F5A" w:rsidRPr="00603F06" w:rsidRDefault="00603F06" w:rsidP="00410F5A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Espace exclusivement dédié à cet effet.</w:t>
            </w:r>
          </w:p>
        </w:tc>
      </w:tr>
      <w:tr w:rsidR="00410F5A" w14:paraId="4088D67F" w14:textId="77777777" w:rsidTr="00CA6015">
        <w:tc>
          <w:tcPr>
            <w:tcW w:w="1701" w:type="dxa"/>
          </w:tcPr>
          <w:p w14:paraId="69D6C0F5" w14:textId="77777777" w:rsidR="00410F5A" w:rsidRPr="00BC29FD" w:rsidRDefault="00410F5A" w:rsidP="00410F5A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14:paraId="6EB568F8" w14:textId="77777777" w:rsidR="00410F5A" w:rsidRPr="00603F06" w:rsidRDefault="00603F06" w:rsidP="00410F5A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Y compris les dispositifs  type « bec bunsen »</w:t>
            </w:r>
            <w:r w:rsidR="00CC1725">
              <w:rPr>
                <w:sz w:val="24"/>
                <w:szCs w:val="24"/>
              </w:rPr>
              <w:t>.</w:t>
            </w:r>
          </w:p>
        </w:tc>
      </w:tr>
      <w:tr w:rsidR="00603F06" w14:paraId="13311BDC" w14:textId="77777777" w:rsidTr="00CA6015">
        <w:tc>
          <w:tcPr>
            <w:tcW w:w="1701" w:type="dxa"/>
          </w:tcPr>
          <w:p w14:paraId="5C99AF42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14:paraId="0EE5711D" w14:textId="77777777" w:rsidR="00603F06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Au minimum 4 feux de cuisson pour 1 endroit de camp. De 1 à 50 personnes - 4 minimum. De 50 à 70 personnes - 5 minimum. + de 70 personnes - 6 minimum.</w:t>
            </w:r>
          </w:p>
        </w:tc>
      </w:tr>
      <w:tr w:rsidR="00603F06" w14:paraId="5079F85D" w14:textId="77777777" w:rsidTr="00CA6015">
        <w:tc>
          <w:tcPr>
            <w:tcW w:w="1701" w:type="dxa"/>
          </w:tcPr>
          <w:p w14:paraId="5E0694D9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14:paraId="3D891F13" w14:textId="77777777" w:rsidR="00603F06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Les surfaces de plan de travail doivent se trouver dans la cuisine.</w:t>
            </w:r>
          </w:p>
        </w:tc>
      </w:tr>
      <w:tr w:rsidR="00603F06" w14:paraId="17946F69" w14:textId="77777777" w:rsidTr="00CA6015">
        <w:tc>
          <w:tcPr>
            <w:tcW w:w="1701" w:type="dxa"/>
          </w:tcPr>
          <w:p w14:paraId="7239E72B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14:paraId="32663F3A" w14:textId="77777777" w:rsidR="00603F06" w:rsidRPr="00603F06" w:rsidRDefault="00603F06" w:rsidP="00CC1725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Ustensiles de cuisine : proportionnel à la capacité de l’endroit de camp, y compris des casseroles</w:t>
            </w:r>
            <w:r w:rsidR="00CC1725">
              <w:rPr>
                <w:sz w:val="24"/>
                <w:szCs w:val="24"/>
              </w:rPr>
              <w:t xml:space="preserve">. </w:t>
            </w:r>
            <w:r w:rsidRPr="00603F06">
              <w:rPr>
                <w:sz w:val="24"/>
                <w:szCs w:val="24"/>
              </w:rPr>
              <w:t>Vaisselle : verre, assiette, couteau, fourchette, grande et petite cuillère, bol - 1 de chaque/pers.</w:t>
            </w:r>
          </w:p>
        </w:tc>
      </w:tr>
      <w:tr w:rsidR="00603F06" w14:paraId="06F2AD36" w14:textId="77777777" w:rsidTr="00CA6015">
        <w:tc>
          <w:tcPr>
            <w:tcW w:w="1701" w:type="dxa"/>
          </w:tcPr>
          <w:p w14:paraId="3482D2BB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14:paraId="19DB23A2" w14:textId="77777777" w:rsidR="00603F06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Attention, pas le même local que celui dédié au stockage des déchets.</w:t>
            </w:r>
          </w:p>
        </w:tc>
      </w:tr>
      <w:tr w:rsidR="00603F06" w14:paraId="764B1716" w14:textId="77777777" w:rsidTr="00CA6015">
        <w:tc>
          <w:tcPr>
            <w:tcW w:w="1701" w:type="dxa"/>
          </w:tcPr>
          <w:p w14:paraId="26EB9C4D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14:paraId="37D80BD7" w14:textId="77777777" w:rsidR="00603F06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Par livraison, on entend des livraisons alimentaires et au minimum possibilité de deux types de livraison de marchandises différentes. Si un magasin alimentaire se trouve à moins de 500 mètres de l’endroit de camp, celui-ci peut être considéré comme possibilité de livraison si les commandes sont possibles.</w:t>
            </w:r>
          </w:p>
        </w:tc>
      </w:tr>
      <w:tr w:rsidR="00603F06" w14:paraId="28C950F5" w14:textId="77777777" w:rsidTr="00CA6015">
        <w:tc>
          <w:tcPr>
            <w:tcW w:w="1701" w:type="dxa"/>
          </w:tcPr>
          <w:p w14:paraId="39C19AFB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14:paraId="53636FEA" w14:textId="77777777" w:rsidR="00603F06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Par route dangereuse, on entend les autoroutes, les nationales à 4 bandes et les nationales avec limitation de vitesse à  90 km/h.</w:t>
            </w:r>
          </w:p>
        </w:tc>
      </w:tr>
      <w:tr w:rsidR="00603F06" w14:paraId="494BDC8B" w14:textId="77777777" w:rsidTr="00CA6015">
        <w:tc>
          <w:tcPr>
            <w:tcW w:w="1701" w:type="dxa"/>
          </w:tcPr>
          <w:p w14:paraId="4E337E86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14:paraId="2889CB60" w14:textId="77777777" w:rsidR="00603F06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Au minimum 2 petits commerces utiles au déroulement du camp</w:t>
            </w:r>
            <w:r w:rsidR="00CC1725">
              <w:rPr>
                <w:sz w:val="24"/>
                <w:szCs w:val="24"/>
              </w:rPr>
              <w:t>.</w:t>
            </w:r>
          </w:p>
        </w:tc>
      </w:tr>
      <w:tr w:rsidR="00603F06" w14:paraId="5122C9E6" w14:textId="77777777" w:rsidTr="00CA6015">
        <w:tc>
          <w:tcPr>
            <w:tcW w:w="1701" w:type="dxa"/>
          </w:tcPr>
          <w:p w14:paraId="7E58A2F3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931" w:type="dxa"/>
          </w:tcPr>
          <w:p w14:paraId="2970380B" w14:textId="77777777" w:rsidR="00603F06" w:rsidRPr="00603F06" w:rsidRDefault="00603F06" w:rsidP="00CC1725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Bois où les locataires peuvent jouer en dehors des sentiers et où ils sont autorisés par le propriétaire du bois ou d</w:t>
            </w:r>
            <w:r w:rsidR="00CC1725">
              <w:rPr>
                <w:sz w:val="24"/>
                <w:szCs w:val="24"/>
              </w:rPr>
              <w:t xml:space="preserve">e l’agent de la </w:t>
            </w:r>
            <w:r w:rsidRPr="00603F06">
              <w:rPr>
                <w:sz w:val="24"/>
                <w:szCs w:val="24"/>
              </w:rPr>
              <w:t>DNF. Un accord écrit doit être présenté s’il s’agit d’un propriétaire privé.</w:t>
            </w:r>
          </w:p>
        </w:tc>
      </w:tr>
      <w:tr w:rsidR="00603F06" w14:paraId="2C6A5D11" w14:textId="77777777" w:rsidTr="00CA6015">
        <w:tc>
          <w:tcPr>
            <w:tcW w:w="1701" w:type="dxa"/>
          </w:tcPr>
          <w:p w14:paraId="3EA85678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931" w:type="dxa"/>
          </w:tcPr>
          <w:p w14:paraId="5B0A123C" w14:textId="77777777" w:rsidR="00603F06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Attenant veut dire accès direct sécurisé du bâtiment à l’espace extérieur. Un accès nécessitant la traversée d’un passage pour piétons (sentier, chemin), d’une rue ou d’une route pour atteindre  l’espace extérieur est considéré comme non attenant.</w:t>
            </w:r>
          </w:p>
        </w:tc>
      </w:tr>
      <w:tr w:rsidR="00603F06" w14:paraId="24B25F6B" w14:textId="77777777" w:rsidTr="00CE5DA0">
        <w:trPr>
          <w:trHeight w:val="858"/>
        </w:trPr>
        <w:tc>
          <w:tcPr>
            <w:tcW w:w="1701" w:type="dxa"/>
          </w:tcPr>
          <w:p w14:paraId="078123C8" w14:textId="77777777" w:rsidR="00603F06" w:rsidRPr="00BC29FD" w:rsidRDefault="00603F06" w:rsidP="00603F06">
            <w:pPr>
              <w:jc w:val="center"/>
              <w:rPr>
                <w:sz w:val="28"/>
                <w:szCs w:val="28"/>
              </w:rPr>
            </w:pPr>
            <w:r w:rsidRPr="00BC29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14:paraId="00465187" w14:textId="77777777" w:rsidR="00603F06" w:rsidRPr="00603F06" w:rsidRDefault="00603F06" w:rsidP="00603F06">
            <w:pPr>
              <w:rPr>
                <w:sz w:val="24"/>
                <w:szCs w:val="24"/>
              </w:rPr>
            </w:pPr>
            <w:r w:rsidRPr="00603F06">
              <w:rPr>
                <w:sz w:val="24"/>
                <w:szCs w:val="24"/>
              </w:rPr>
              <w:t>Eclairage permettant d’éclairer une surface assez grande pour mettre l’ensemble du groupe à l’extérieur. Si un éclairage public éclaire une partie de la propriété de l’endroit de camp, celui-ci peut être comptabilisé, s’il s’agit d’un éclairage permanent la nuit.</w:t>
            </w:r>
          </w:p>
        </w:tc>
      </w:tr>
    </w:tbl>
    <w:p w14:paraId="6A034843" w14:textId="77777777" w:rsidR="0062758D" w:rsidRDefault="0062758D"/>
    <w:sectPr w:rsidR="0062758D" w:rsidSect="00BC29F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F4"/>
    <w:rsid w:val="00020AD2"/>
    <w:rsid w:val="00053677"/>
    <w:rsid w:val="0007728F"/>
    <w:rsid w:val="000F7DB7"/>
    <w:rsid w:val="001A0DC2"/>
    <w:rsid w:val="001D2268"/>
    <w:rsid w:val="00274796"/>
    <w:rsid w:val="002A0AF5"/>
    <w:rsid w:val="00351E2C"/>
    <w:rsid w:val="00354BED"/>
    <w:rsid w:val="003E5BD1"/>
    <w:rsid w:val="00410F5A"/>
    <w:rsid w:val="005977EE"/>
    <w:rsid w:val="00603F06"/>
    <w:rsid w:val="0062758D"/>
    <w:rsid w:val="006F3447"/>
    <w:rsid w:val="00776496"/>
    <w:rsid w:val="007833F4"/>
    <w:rsid w:val="00811D2E"/>
    <w:rsid w:val="00826324"/>
    <w:rsid w:val="00863A3C"/>
    <w:rsid w:val="008B0231"/>
    <w:rsid w:val="008F5B13"/>
    <w:rsid w:val="00931B7D"/>
    <w:rsid w:val="00A35538"/>
    <w:rsid w:val="00A52430"/>
    <w:rsid w:val="00A527A7"/>
    <w:rsid w:val="00A77FF4"/>
    <w:rsid w:val="00B2282D"/>
    <w:rsid w:val="00B2634D"/>
    <w:rsid w:val="00B87787"/>
    <w:rsid w:val="00BC29FD"/>
    <w:rsid w:val="00CA6015"/>
    <w:rsid w:val="00CB037E"/>
    <w:rsid w:val="00CC1725"/>
    <w:rsid w:val="00CE251A"/>
    <w:rsid w:val="00CE5DA0"/>
    <w:rsid w:val="00D21FF7"/>
    <w:rsid w:val="00D22337"/>
    <w:rsid w:val="00D7680D"/>
    <w:rsid w:val="00DB0318"/>
    <w:rsid w:val="00E156AF"/>
    <w:rsid w:val="00F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1EE9"/>
  <w15:docId w15:val="{95B8B4E9-BA25-4DEA-8564-26DEBD3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F3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wiph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Bodart</dc:creator>
  <cp:lastModifiedBy>Coord.PCCATL</cp:lastModifiedBy>
  <cp:revision>2</cp:revision>
  <cp:lastPrinted>2014-01-23T09:34:00Z</cp:lastPrinted>
  <dcterms:created xsi:type="dcterms:W3CDTF">2023-02-15T15:44:00Z</dcterms:created>
  <dcterms:modified xsi:type="dcterms:W3CDTF">2023-02-15T15:44:00Z</dcterms:modified>
</cp:coreProperties>
</file>