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2543" w:rsidR="00BC65B4" w:rsidP="00BC65B4" w:rsidRDefault="00BC65B4" w14:paraId="51447CD6" w14:textId="77777777">
      <w:pPr>
        <w:spacing w:after="0" w:line="240" w:lineRule="auto"/>
        <w:textAlignment w:val="baseline"/>
        <w:rPr>
          <w:rFonts w:eastAsia="Times New Roman" w:cstheme="minorHAnsi"/>
          <w:b/>
          <w:bCs/>
          <w:lang w:val="fr-FR" w:eastAsia="fr-BE"/>
        </w:rPr>
      </w:pPr>
      <w:r w:rsidRPr="004A2543">
        <w:rPr>
          <w:b/>
          <w:bCs/>
        </w:rPr>
        <w:t>Avant-projet de décret relatif à l’accueil extrascolaire et de vacances</w:t>
      </w:r>
      <w:r w:rsidRPr="004A2543">
        <w:rPr>
          <w:rFonts w:eastAsia="Times New Roman" w:cstheme="minorHAnsi"/>
          <w:b/>
          <w:bCs/>
          <w:lang w:val="fr-FR" w:eastAsia="fr-BE"/>
        </w:rPr>
        <w:t xml:space="preserve"> </w:t>
      </w:r>
    </w:p>
    <w:p w:rsidR="00BC65B4" w:rsidP="00BC65B4" w:rsidRDefault="00BC65B4" w14:paraId="588A5EF4" w14:textId="77777777">
      <w:pPr>
        <w:pStyle w:val="Heading2"/>
        <w:tabs>
          <w:tab w:val="clear" w:pos="360"/>
        </w:tabs>
        <w:ind w:left="0"/>
        <w:rPr>
          <w:rFonts w:asciiTheme="minorHAnsi" w:hAnsiTheme="minorHAnsi" w:cstheme="minorHAnsi"/>
          <w:lang w:val="fr-FR"/>
        </w:rPr>
      </w:pPr>
    </w:p>
    <w:p w:rsidRPr="00233134" w:rsidR="00233134" w:rsidP="1BDE9D1E" w:rsidRDefault="00C8765F" w14:paraId="7D536DF6" w14:textId="40463533">
      <w:pPr>
        <w:pStyle w:val="Heading2"/>
        <w:tabs>
          <w:tab w:val="clear" w:pos="360"/>
        </w:tabs>
        <w:ind w:left="0"/>
        <w:rPr>
          <w:rFonts w:ascii="Calibri" w:hAnsi="Calibri" w:cs="Calibri" w:asciiTheme="minorAscii" w:hAnsiTheme="minorAscii" w:cstheme="minorAscii"/>
          <w:lang w:val="fr-FR"/>
        </w:rPr>
      </w:pPr>
      <w:r w:rsidRPr="1BDE9D1E" w:rsidR="00C8765F">
        <w:rPr>
          <w:rFonts w:ascii="Calibri" w:hAnsi="Calibri" w:cs="Calibri" w:asciiTheme="minorAscii" w:hAnsiTheme="minorAscii" w:cstheme="minorAscii"/>
          <w:lang w:val="fr-FR"/>
        </w:rPr>
        <w:t xml:space="preserve">Note d’information - </w:t>
      </w:r>
      <w:r w:rsidRPr="1BDE9D1E" w:rsidR="00BC65B4">
        <w:rPr>
          <w:rFonts w:ascii="Calibri" w:hAnsi="Calibri" w:cs="Calibri" w:asciiTheme="minorAscii" w:hAnsiTheme="minorAscii" w:cstheme="minorAscii"/>
          <w:lang w:val="fr-FR"/>
        </w:rPr>
        <w:t>Analyse chiffrée </w:t>
      </w:r>
    </w:p>
    <w:p w:rsidR="00233134" w:rsidP="00233134" w:rsidRDefault="00233134" w14:paraId="51614AD2" w14:textId="77777777">
      <w:pPr>
        <w:pStyle w:val="Heading2"/>
        <w:tabs>
          <w:tab w:val="clear" w:pos="360"/>
        </w:tabs>
        <w:ind w:left="0"/>
        <w:rPr>
          <w:rFonts w:asciiTheme="minorHAnsi" w:hAnsiTheme="minorHAnsi" w:cstheme="minorHAnsi"/>
          <w:b w:val="0"/>
          <w:bCs w:val="0"/>
          <w:i w:val="0"/>
          <w:iCs w:val="0"/>
          <w:u w:val="single"/>
          <w:lang w:val="fr-FR"/>
        </w:rPr>
      </w:pPr>
    </w:p>
    <w:p w:rsidRPr="00233134" w:rsidR="00233134" w:rsidP="00233134" w:rsidRDefault="00233134" w14:paraId="284F5280" w14:textId="395146B6">
      <w:pPr>
        <w:pStyle w:val="Heading2"/>
        <w:tabs>
          <w:tab w:val="clear" w:pos="360"/>
        </w:tabs>
        <w:ind w:left="0"/>
        <w:rPr>
          <w:rFonts w:asciiTheme="minorHAnsi" w:hAnsiTheme="minorHAnsi" w:cstheme="minorHAnsi"/>
          <w:b w:val="0"/>
          <w:bCs w:val="0"/>
          <w:u w:val="single"/>
          <w:lang w:val="fr-FR"/>
        </w:rPr>
      </w:pPr>
      <w:r w:rsidRPr="00233134">
        <w:rPr>
          <w:rFonts w:asciiTheme="minorHAnsi" w:hAnsiTheme="minorHAnsi" w:cstheme="minorHAnsi"/>
          <w:b w:val="0"/>
          <w:bCs w:val="0"/>
          <w:u w:val="single"/>
          <w:lang w:val="fr-FR"/>
        </w:rPr>
        <w:t>La complexité et les disparités des mécanismes de financement</w:t>
      </w:r>
    </w:p>
    <w:p w:rsidR="00274925" w:rsidP="00BC65B4" w:rsidRDefault="00BC65B4" w14:paraId="032DCBE8" w14:textId="77777777">
      <w:pPr>
        <w:jc w:val="both"/>
        <w:rPr>
          <w:rFonts w:cstheme="minorHAnsi"/>
          <w:lang w:val="fr-FR"/>
        </w:rPr>
      </w:pPr>
      <w:r w:rsidRPr="00BC65B4">
        <w:rPr>
          <w:rFonts w:cstheme="minorHAnsi"/>
          <w:lang w:val="fr-FR"/>
        </w:rPr>
        <w:t xml:space="preserve">L’ensemble des données présentées ci-dessous concernent l’année 2021. </w:t>
      </w:r>
    </w:p>
    <w:p w:rsidRPr="00BC65B4" w:rsidR="00BC65B4" w:rsidP="00BC65B4" w:rsidRDefault="00274925" w14:paraId="6E7596AF" w14:textId="49B1C47A">
      <w:pPr>
        <w:jc w:val="both"/>
        <w:rPr>
          <w:rFonts w:cstheme="minorHAnsi"/>
          <w:lang w:val="fr-FR"/>
        </w:rPr>
      </w:pPr>
      <w:r>
        <w:rPr>
          <w:rFonts w:cstheme="minorHAnsi"/>
          <w:lang w:val="fr-FR"/>
        </w:rPr>
        <w:t>L</w:t>
      </w:r>
      <w:r w:rsidRPr="00BC65B4" w:rsidR="00BC65B4">
        <w:rPr>
          <w:rFonts w:cstheme="minorHAnsi"/>
          <w:lang w:val="fr-FR"/>
        </w:rPr>
        <w:t>e secteur de l’ATL est composé de 4 catégories d’opérateurs financés par l’ONE selon des modalités distinctes :</w:t>
      </w:r>
    </w:p>
    <w:p w:rsidRPr="00BC65B4" w:rsidR="00BC65B4" w:rsidP="00BC65B4" w:rsidRDefault="00BC65B4" w14:paraId="3022A3C6" w14:textId="77777777">
      <w:pPr>
        <w:pStyle w:val="ListParagraph"/>
        <w:numPr>
          <w:ilvl w:val="0"/>
          <w:numId w:val="5"/>
        </w:numPr>
        <w:jc w:val="both"/>
        <w:rPr>
          <w:rFonts w:cstheme="minorHAnsi"/>
          <w:lang w:val="fr-FR"/>
        </w:rPr>
      </w:pPr>
      <w:r w:rsidRPr="00BC65B4">
        <w:rPr>
          <w:rFonts w:cstheme="minorHAnsi"/>
          <w:lang w:val="fr-FR"/>
        </w:rPr>
        <w:t>L’accueil extrascolaire de type 1 (AES1) ;</w:t>
      </w:r>
    </w:p>
    <w:p w:rsidRPr="00BC65B4" w:rsidR="00BC65B4" w:rsidP="00BC65B4" w:rsidRDefault="00BC65B4" w14:paraId="3BF1A17F" w14:textId="77777777">
      <w:pPr>
        <w:pStyle w:val="ListParagraph"/>
        <w:numPr>
          <w:ilvl w:val="0"/>
          <w:numId w:val="5"/>
        </w:numPr>
        <w:jc w:val="both"/>
        <w:rPr>
          <w:rFonts w:cstheme="minorHAnsi"/>
          <w:lang w:val="fr-FR"/>
        </w:rPr>
      </w:pPr>
      <w:r w:rsidRPr="00BC65B4">
        <w:rPr>
          <w:rFonts w:cstheme="minorHAnsi"/>
          <w:lang w:val="fr-FR"/>
        </w:rPr>
        <w:t>L’accueil extrascolaire de type 2 (AES2), hérité du Fonds d'équipements et de services collectifs (ex-FESC) ;</w:t>
      </w:r>
    </w:p>
    <w:p w:rsidRPr="00BC65B4" w:rsidR="00BC65B4" w:rsidP="00BC65B4" w:rsidRDefault="00BC65B4" w14:paraId="3FCD5250" w14:textId="77777777">
      <w:pPr>
        <w:pStyle w:val="ListParagraph"/>
        <w:numPr>
          <w:ilvl w:val="0"/>
          <w:numId w:val="5"/>
        </w:numPr>
        <w:jc w:val="both"/>
        <w:rPr>
          <w:rFonts w:cstheme="minorHAnsi"/>
          <w:lang w:val="fr-FR"/>
        </w:rPr>
      </w:pPr>
      <w:r w:rsidRPr="00BC65B4">
        <w:rPr>
          <w:rFonts w:cstheme="minorHAnsi"/>
          <w:lang w:val="fr-FR"/>
        </w:rPr>
        <w:t>Les écoles de devoirs (EDD) ;</w:t>
      </w:r>
    </w:p>
    <w:p w:rsidRPr="00BC65B4" w:rsidR="00BC65B4" w:rsidP="00BC65B4" w:rsidRDefault="00BC65B4" w14:paraId="42DBA459" w14:textId="77777777">
      <w:pPr>
        <w:pStyle w:val="ListParagraph"/>
        <w:numPr>
          <w:ilvl w:val="0"/>
          <w:numId w:val="5"/>
        </w:numPr>
        <w:jc w:val="both"/>
        <w:rPr>
          <w:rFonts w:cstheme="minorHAnsi"/>
          <w:lang w:val="fr-FR"/>
        </w:rPr>
      </w:pPr>
      <w:r w:rsidRPr="00BC65B4">
        <w:rPr>
          <w:rFonts w:cstheme="minorHAnsi"/>
          <w:lang w:val="fr-FR"/>
        </w:rPr>
        <w:t>Les centres de vacances (CDV) regroupant 3 sous-catégories : les plaines, les séjours et les camps.</w:t>
      </w:r>
    </w:p>
    <w:p w:rsidRPr="00BC65B4" w:rsidR="00BC65B4" w:rsidP="1BDE9D1E" w:rsidRDefault="00BC65B4" w14:paraId="7F3CC9A3" w14:textId="19805D09">
      <w:pPr>
        <w:jc w:val="both"/>
        <w:rPr>
          <w:rFonts w:cs="Calibri" w:cstheme="minorAscii"/>
          <w:lang w:val="fr-FR"/>
        </w:rPr>
      </w:pPr>
      <w:r w:rsidRPr="1BDE9D1E" w:rsidR="00BC65B4">
        <w:rPr>
          <w:rFonts w:cs="Calibri" w:cstheme="minorAscii"/>
          <w:lang w:val="fr-FR"/>
        </w:rPr>
        <w:t xml:space="preserve">Ces 4 dispositifs représentent 1.848 opérateurs agréés et 1.445 opérateurs subsidiés. La différence entre les deux </w:t>
      </w:r>
      <w:r w:rsidRPr="1BDE9D1E" w:rsidR="00BC65B4">
        <w:rPr>
          <w:rFonts w:cs="Calibri" w:cstheme="minorAscii"/>
          <w:lang w:val="fr-FR"/>
        </w:rPr>
        <w:t>s’explique</w:t>
      </w:r>
      <w:r w:rsidRPr="1BDE9D1E" w:rsidR="00BC65B4">
        <w:rPr>
          <w:rFonts w:cs="Calibri" w:cstheme="minorAscii"/>
          <w:lang w:val="fr-FR"/>
        </w:rPr>
        <w:t xml:space="preserve"> essentiellement par un nombre important d’opérateurs de centres de vacances qui sont agréés mais </w:t>
      </w:r>
      <w:r w:rsidRPr="1BDE9D1E" w:rsidR="00804651">
        <w:rPr>
          <w:rFonts w:cs="Calibri" w:cstheme="minorAscii"/>
          <w:lang w:val="fr-FR"/>
        </w:rPr>
        <w:t>non subsidiés</w:t>
      </w:r>
      <w:r w:rsidRPr="1BDE9D1E" w:rsidR="00BC65B4">
        <w:rPr>
          <w:rFonts w:cs="Calibri" w:cstheme="minorAscii"/>
          <w:lang w:val="fr-FR"/>
        </w:rPr>
        <w:t>. Il s’agit principalement des camps de mouvements de jeunesse ou des séjours divers. Ces 1.445 opérateurs cumulent 1.729 agréments, car 30% d’entre eux sont agréés pour plusieurs dispositifs comme l’atteste le tableau ci-dessous :</w:t>
      </w:r>
    </w:p>
    <w:tbl>
      <w:tblPr>
        <w:tblW w:w="7756" w:type="dxa"/>
        <w:tblCellMar>
          <w:left w:w="70" w:type="dxa"/>
          <w:right w:w="70" w:type="dxa"/>
        </w:tblCellMar>
        <w:tblLook w:val="04A0" w:firstRow="1" w:lastRow="0" w:firstColumn="1" w:lastColumn="0" w:noHBand="0" w:noVBand="1"/>
      </w:tblPr>
      <w:tblGrid>
        <w:gridCol w:w="2860"/>
        <w:gridCol w:w="1620"/>
        <w:gridCol w:w="1620"/>
        <w:gridCol w:w="1620"/>
        <w:gridCol w:w="146"/>
      </w:tblGrid>
      <w:tr w:rsidRPr="00BC65B4" w:rsidR="00BC65B4" w:rsidTr="00CE7B42" w14:paraId="730B462F" w14:textId="77777777">
        <w:trPr>
          <w:gridAfter w:val="1"/>
          <w:wAfter w:w="36" w:type="dxa"/>
          <w:trHeight w:val="300"/>
        </w:trPr>
        <w:tc>
          <w:tcPr>
            <w:tcW w:w="2860" w:type="dxa"/>
            <w:tcBorders>
              <w:top w:val="single" w:color="auto" w:sz="4" w:space="0"/>
              <w:left w:val="single" w:color="auto" w:sz="4" w:space="0"/>
              <w:bottom w:val="single" w:color="auto" w:sz="4" w:space="0"/>
              <w:right w:val="single" w:color="auto" w:sz="4" w:space="0"/>
            </w:tcBorders>
            <w:shd w:val="clear" w:color="DCE6F1" w:fill="D9D9D9"/>
            <w:noWrap/>
            <w:vAlign w:val="bottom"/>
            <w:hideMark/>
          </w:tcPr>
          <w:p w:rsidRPr="00BC65B4" w:rsidR="00BC65B4" w:rsidP="00CE7B42" w:rsidRDefault="00BC65B4" w14:paraId="5A107437"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Total opérateurs actifs</w:t>
            </w:r>
          </w:p>
        </w:tc>
        <w:tc>
          <w:tcPr>
            <w:tcW w:w="1620" w:type="dxa"/>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44474184" w14:textId="77777777">
            <w:pPr>
              <w:spacing w:after="0" w:line="240" w:lineRule="auto"/>
              <w:jc w:val="right"/>
              <w:rPr>
                <w:rFonts w:eastAsia="Times New Roman" w:cstheme="minorHAnsi"/>
                <w:b/>
                <w:bCs/>
                <w:color w:val="000000"/>
                <w:lang w:val="fr-FR" w:eastAsia="fr-BE"/>
              </w:rPr>
            </w:pPr>
            <w:r w:rsidRPr="00BC65B4">
              <w:rPr>
                <w:rFonts w:eastAsia="Times New Roman" w:cstheme="minorHAnsi"/>
                <w:b/>
                <w:bCs/>
                <w:color w:val="000000"/>
                <w:lang w:val="fr-FR" w:eastAsia="fr-BE"/>
              </w:rPr>
              <w:t>1.848</w:t>
            </w:r>
          </w:p>
        </w:tc>
        <w:tc>
          <w:tcPr>
            <w:tcW w:w="1620" w:type="dxa"/>
            <w:tcBorders>
              <w:top w:val="nil"/>
              <w:left w:val="nil"/>
              <w:bottom w:val="nil"/>
              <w:right w:val="nil"/>
            </w:tcBorders>
            <w:shd w:val="clear" w:color="auto" w:fill="auto"/>
            <w:noWrap/>
            <w:vAlign w:val="bottom"/>
            <w:hideMark/>
          </w:tcPr>
          <w:p w:rsidRPr="00BC65B4" w:rsidR="00BC65B4" w:rsidP="00CE7B42" w:rsidRDefault="00BC65B4" w14:paraId="7CA92F21" w14:textId="77777777">
            <w:pPr>
              <w:spacing w:after="0" w:line="240" w:lineRule="auto"/>
              <w:jc w:val="right"/>
              <w:rPr>
                <w:rFonts w:eastAsia="Times New Roman" w:cstheme="minorHAnsi"/>
                <w:b/>
                <w:bCs/>
                <w:color w:val="000000"/>
                <w:lang w:val="fr-FR" w:eastAsia="fr-BE"/>
              </w:rPr>
            </w:pPr>
          </w:p>
        </w:tc>
        <w:tc>
          <w:tcPr>
            <w:tcW w:w="1620" w:type="dxa"/>
            <w:tcBorders>
              <w:top w:val="nil"/>
              <w:left w:val="nil"/>
              <w:bottom w:val="nil"/>
              <w:right w:val="nil"/>
            </w:tcBorders>
            <w:shd w:val="clear" w:color="auto" w:fill="auto"/>
            <w:noWrap/>
            <w:vAlign w:val="bottom"/>
            <w:hideMark/>
          </w:tcPr>
          <w:p w:rsidRPr="00BC65B4" w:rsidR="00BC65B4" w:rsidP="00CE7B42" w:rsidRDefault="00BC65B4" w14:paraId="0181FE74" w14:textId="77777777">
            <w:pPr>
              <w:spacing w:after="0" w:line="240" w:lineRule="auto"/>
              <w:rPr>
                <w:rFonts w:eastAsia="Times New Roman" w:cstheme="minorHAnsi"/>
                <w:sz w:val="20"/>
                <w:szCs w:val="20"/>
                <w:lang w:val="fr-FR" w:eastAsia="fr-BE"/>
              </w:rPr>
            </w:pPr>
          </w:p>
        </w:tc>
      </w:tr>
      <w:tr w:rsidRPr="00BC65B4" w:rsidR="00BC65B4" w:rsidTr="00CE7B42" w14:paraId="33354E43" w14:textId="77777777">
        <w:trPr>
          <w:gridAfter w:val="1"/>
          <w:wAfter w:w="36" w:type="dxa"/>
          <w:trHeight w:val="300"/>
        </w:trPr>
        <w:tc>
          <w:tcPr>
            <w:tcW w:w="2860" w:type="dxa"/>
            <w:tcBorders>
              <w:top w:val="nil"/>
              <w:left w:val="single" w:color="auto" w:sz="4" w:space="0"/>
              <w:bottom w:val="single" w:color="auto" w:sz="4" w:space="0"/>
              <w:right w:val="single" w:color="auto" w:sz="4" w:space="0"/>
            </w:tcBorders>
            <w:shd w:val="clear" w:color="DCE6F1" w:fill="D9D9D9"/>
            <w:noWrap/>
            <w:vAlign w:val="bottom"/>
            <w:hideMark/>
          </w:tcPr>
          <w:p w:rsidRPr="00BC65B4" w:rsidR="00BC65B4" w:rsidP="00CE7B42" w:rsidRDefault="00BC65B4" w14:paraId="12907310"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Total opérateurs subsidiés</w:t>
            </w:r>
          </w:p>
        </w:tc>
        <w:tc>
          <w:tcPr>
            <w:tcW w:w="1620" w:type="dxa"/>
            <w:tcBorders>
              <w:top w:val="nil"/>
              <w:left w:val="nil"/>
              <w:bottom w:val="single" w:color="auto" w:sz="4" w:space="0"/>
              <w:right w:val="single" w:color="auto" w:sz="4" w:space="0"/>
            </w:tcBorders>
            <w:shd w:val="clear" w:color="000000" w:fill="D9D9D9"/>
            <w:noWrap/>
            <w:vAlign w:val="bottom"/>
            <w:hideMark/>
          </w:tcPr>
          <w:p w:rsidRPr="00BC65B4" w:rsidR="00BC65B4" w:rsidP="00CE7B42" w:rsidRDefault="00BC65B4" w14:paraId="4A9AE0BD" w14:textId="77777777">
            <w:pPr>
              <w:spacing w:after="0" w:line="240" w:lineRule="auto"/>
              <w:jc w:val="right"/>
              <w:rPr>
                <w:rFonts w:eastAsia="Times New Roman" w:cstheme="minorHAnsi"/>
                <w:b/>
                <w:bCs/>
                <w:color w:val="000000"/>
                <w:lang w:val="fr-FR" w:eastAsia="fr-BE"/>
              </w:rPr>
            </w:pPr>
            <w:r w:rsidRPr="00BC65B4">
              <w:rPr>
                <w:rFonts w:eastAsia="Times New Roman" w:cstheme="minorHAnsi"/>
                <w:b/>
                <w:bCs/>
                <w:color w:val="000000"/>
                <w:lang w:val="fr-FR" w:eastAsia="fr-BE"/>
              </w:rPr>
              <w:t>1.445</w:t>
            </w:r>
          </w:p>
        </w:tc>
        <w:tc>
          <w:tcPr>
            <w:tcW w:w="1620" w:type="dxa"/>
            <w:tcBorders>
              <w:top w:val="nil"/>
              <w:left w:val="nil"/>
              <w:bottom w:val="nil"/>
              <w:right w:val="nil"/>
            </w:tcBorders>
            <w:shd w:val="clear" w:color="auto" w:fill="auto"/>
            <w:noWrap/>
            <w:vAlign w:val="bottom"/>
            <w:hideMark/>
          </w:tcPr>
          <w:p w:rsidRPr="00BC65B4" w:rsidR="00BC65B4" w:rsidP="00CE7B42" w:rsidRDefault="00BC65B4" w14:paraId="32AC87C8" w14:textId="77777777">
            <w:pPr>
              <w:spacing w:after="0" w:line="240" w:lineRule="auto"/>
              <w:jc w:val="right"/>
              <w:rPr>
                <w:rFonts w:eastAsia="Times New Roman" w:cstheme="minorHAnsi"/>
                <w:b/>
                <w:bCs/>
                <w:color w:val="000000"/>
                <w:lang w:val="fr-FR" w:eastAsia="fr-BE"/>
              </w:rPr>
            </w:pPr>
          </w:p>
        </w:tc>
        <w:tc>
          <w:tcPr>
            <w:tcW w:w="1620" w:type="dxa"/>
            <w:tcBorders>
              <w:top w:val="nil"/>
              <w:left w:val="nil"/>
              <w:bottom w:val="nil"/>
              <w:right w:val="nil"/>
            </w:tcBorders>
            <w:shd w:val="clear" w:color="auto" w:fill="auto"/>
            <w:noWrap/>
            <w:vAlign w:val="bottom"/>
            <w:hideMark/>
          </w:tcPr>
          <w:p w:rsidRPr="00BC65B4" w:rsidR="00BC65B4" w:rsidP="00CE7B42" w:rsidRDefault="00BC65B4" w14:paraId="1FE1C452" w14:textId="77777777">
            <w:pPr>
              <w:spacing w:after="0" w:line="240" w:lineRule="auto"/>
              <w:rPr>
                <w:rFonts w:eastAsia="Times New Roman" w:cstheme="minorHAnsi"/>
                <w:sz w:val="20"/>
                <w:szCs w:val="20"/>
                <w:lang w:val="fr-FR" w:eastAsia="fr-BE"/>
              </w:rPr>
            </w:pPr>
          </w:p>
        </w:tc>
      </w:tr>
      <w:tr w:rsidRPr="00BC65B4" w:rsidR="00BC65B4" w:rsidTr="00CE7B42" w14:paraId="0897A5C1" w14:textId="77777777">
        <w:trPr>
          <w:gridAfter w:val="1"/>
          <w:wAfter w:w="36" w:type="dxa"/>
          <w:trHeight w:val="300"/>
        </w:trPr>
        <w:tc>
          <w:tcPr>
            <w:tcW w:w="2860" w:type="dxa"/>
            <w:tcBorders>
              <w:top w:val="nil"/>
              <w:left w:val="nil"/>
              <w:bottom w:val="nil"/>
              <w:right w:val="nil"/>
            </w:tcBorders>
            <w:shd w:val="clear" w:color="auto" w:fill="auto"/>
            <w:noWrap/>
            <w:vAlign w:val="bottom"/>
            <w:hideMark/>
          </w:tcPr>
          <w:p w:rsidRPr="00BC65B4" w:rsidR="00BC65B4" w:rsidP="00CE7B42" w:rsidRDefault="00BC65B4" w14:paraId="1F083D54" w14:textId="77777777">
            <w:pPr>
              <w:spacing w:after="0" w:line="240" w:lineRule="auto"/>
              <w:rPr>
                <w:rFonts w:eastAsia="Times New Roman" w:cstheme="minorHAnsi"/>
                <w:sz w:val="20"/>
                <w:szCs w:val="20"/>
                <w:lang w:val="fr-FR" w:eastAsia="fr-BE"/>
              </w:rPr>
            </w:pPr>
          </w:p>
        </w:tc>
        <w:tc>
          <w:tcPr>
            <w:tcW w:w="1620" w:type="dxa"/>
            <w:tcBorders>
              <w:top w:val="nil"/>
              <w:left w:val="nil"/>
              <w:bottom w:val="nil"/>
              <w:right w:val="nil"/>
            </w:tcBorders>
            <w:shd w:val="clear" w:color="auto" w:fill="auto"/>
            <w:noWrap/>
            <w:vAlign w:val="bottom"/>
            <w:hideMark/>
          </w:tcPr>
          <w:p w:rsidRPr="00BC65B4" w:rsidR="00BC65B4" w:rsidP="00CE7B42" w:rsidRDefault="00BC65B4" w14:paraId="1A2582F4" w14:textId="77777777">
            <w:pPr>
              <w:spacing w:after="0" w:line="240" w:lineRule="auto"/>
              <w:rPr>
                <w:rFonts w:eastAsia="Times New Roman" w:cstheme="minorHAnsi"/>
                <w:sz w:val="20"/>
                <w:szCs w:val="20"/>
                <w:lang w:val="fr-FR" w:eastAsia="fr-BE"/>
              </w:rPr>
            </w:pPr>
          </w:p>
        </w:tc>
        <w:tc>
          <w:tcPr>
            <w:tcW w:w="1620" w:type="dxa"/>
            <w:tcBorders>
              <w:top w:val="nil"/>
              <w:left w:val="nil"/>
              <w:bottom w:val="nil"/>
              <w:right w:val="nil"/>
            </w:tcBorders>
            <w:shd w:val="clear" w:color="auto" w:fill="auto"/>
            <w:noWrap/>
            <w:vAlign w:val="bottom"/>
            <w:hideMark/>
          </w:tcPr>
          <w:p w:rsidRPr="00BC65B4" w:rsidR="00BC65B4" w:rsidP="00CE7B42" w:rsidRDefault="00BC65B4" w14:paraId="2C1D9067" w14:textId="77777777">
            <w:pPr>
              <w:spacing w:after="0" w:line="240" w:lineRule="auto"/>
              <w:rPr>
                <w:rFonts w:eastAsia="Times New Roman" w:cstheme="minorHAnsi"/>
                <w:sz w:val="20"/>
                <w:szCs w:val="20"/>
                <w:lang w:val="fr-FR" w:eastAsia="fr-BE"/>
              </w:rPr>
            </w:pPr>
          </w:p>
        </w:tc>
        <w:tc>
          <w:tcPr>
            <w:tcW w:w="1620" w:type="dxa"/>
            <w:tcBorders>
              <w:top w:val="nil"/>
              <w:left w:val="nil"/>
              <w:bottom w:val="nil"/>
              <w:right w:val="nil"/>
            </w:tcBorders>
            <w:shd w:val="clear" w:color="auto" w:fill="auto"/>
            <w:noWrap/>
            <w:vAlign w:val="bottom"/>
            <w:hideMark/>
          </w:tcPr>
          <w:p w:rsidRPr="00BC65B4" w:rsidR="00BC65B4" w:rsidP="00CE7B42" w:rsidRDefault="00BC65B4" w14:paraId="05397705" w14:textId="77777777">
            <w:pPr>
              <w:spacing w:after="0" w:line="240" w:lineRule="auto"/>
              <w:rPr>
                <w:rFonts w:eastAsia="Times New Roman" w:cstheme="minorHAnsi"/>
                <w:sz w:val="20"/>
                <w:szCs w:val="20"/>
                <w:lang w:val="fr-FR" w:eastAsia="fr-BE"/>
              </w:rPr>
            </w:pPr>
          </w:p>
        </w:tc>
      </w:tr>
      <w:tr w:rsidRPr="00BC65B4" w:rsidR="00BC65B4" w:rsidTr="00CE7B42" w14:paraId="7A37991A" w14:textId="77777777">
        <w:trPr>
          <w:gridAfter w:val="1"/>
          <w:wAfter w:w="36" w:type="dxa"/>
          <w:trHeight w:val="300"/>
        </w:trPr>
        <w:tc>
          <w:tcPr>
            <w:tcW w:w="28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BC65B4" w:rsidR="00BC65B4" w:rsidP="00CE7B42" w:rsidRDefault="00BC65B4" w14:paraId="3CBE93A9"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Total</w:t>
            </w:r>
          </w:p>
        </w:tc>
        <w:tc>
          <w:tcPr>
            <w:tcW w:w="1620" w:type="dxa"/>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76339D39" w14:textId="77777777">
            <w:pPr>
              <w:spacing w:after="0" w:line="240" w:lineRule="auto"/>
              <w:jc w:val="right"/>
              <w:rPr>
                <w:rFonts w:eastAsia="Times New Roman" w:cstheme="minorHAnsi"/>
                <w:b/>
                <w:color w:val="000000"/>
                <w:lang w:val="fr-FR" w:eastAsia="fr-BE"/>
              </w:rPr>
            </w:pPr>
            <w:r w:rsidRPr="00BC65B4">
              <w:rPr>
                <w:rFonts w:eastAsia="Times New Roman" w:cstheme="minorHAnsi"/>
                <w:b/>
                <w:color w:val="000000"/>
                <w:lang w:val="fr-FR" w:eastAsia="fr-BE"/>
              </w:rPr>
              <w:t>1.729</w:t>
            </w:r>
          </w:p>
        </w:tc>
        <w:tc>
          <w:tcPr>
            <w:tcW w:w="1620" w:type="dxa"/>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352383F3" w14:textId="77777777">
            <w:pPr>
              <w:spacing w:after="0" w:line="240" w:lineRule="auto"/>
              <w:jc w:val="right"/>
              <w:rPr>
                <w:rFonts w:eastAsia="Times New Roman" w:cstheme="minorHAnsi"/>
                <w:b/>
                <w:color w:val="000000"/>
                <w:lang w:val="fr-FR" w:eastAsia="fr-BE"/>
              </w:rPr>
            </w:pPr>
            <w:r w:rsidRPr="00BC65B4">
              <w:rPr>
                <w:rFonts w:eastAsia="Times New Roman" w:cstheme="minorHAnsi"/>
                <w:b/>
                <w:color w:val="000000"/>
                <w:lang w:val="fr-FR" w:eastAsia="fr-BE"/>
              </w:rPr>
              <w:t>1.202</w:t>
            </w:r>
          </w:p>
        </w:tc>
        <w:tc>
          <w:tcPr>
            <w:tcW w:w="1620" w:type="dxa"/>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2E89DEDD" w14:textId="77777777">
            <w:pPr>
              <w:spacing w:after="0" w:line="240" w:lineRule="auto"/>
              <w:jc w:val="right"/>
              <w:rPr>
                <w:rFonts w:eastAsia="Times New Roman" w:cstheme="minorHAnsi"/>
                <w:b/>
                <w:color w:val="000000"/>
                <w:lang w:val="fr-FR" w:eastAsia="fr-BE"/>
              </w:rPr>
            </w:pPr>
            <w:r w:rsidRPr="00BC65B4">
              <w:rPr>
                <w:rFonts w:eastAsia="Times New Roman" w:cstheme="minorHAnsi"/>
                <w:b/>
                <w:color w:val="000000"/>
                <w:lang w:val="fr-FR" w:eastAsia="fr-BE"/>
              </w:rPr>
              <w:t>527</w:t>
            </w:r>
          </w:p>
        </w:tc>
      </w:tr>
      <w:tr w:rsidRPr="00BC65B4" w:rsidR="00BC65B4" w:rsidTr="00CE7B42" w14:paraId="0541A61B" w14:textId="77777777">
        <w:trPr>
          <w:gridAfter w:val="1"/>
          <w:wAfter w:w="36" w:type="dxa"/>
          <w:trHeight w:val="509"/>
        </w:trPr>
        <w:tc>
          <w:tcPr>
            <w:tcW w:w="2860" w:type="dxa"/>
            <w:vMerge w:val="restart"/>
            <w:tcBorders>
              <w:top w:val="nil"/>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41F96BF6"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Type d'opérateurs</w:t>
            </w:r>
          </w:p>
        </w:tc>
        <w:tc>
          <w:tcPr>
            <w:tcW w:w="1620" w:type="dxa"/>
            <w:vMerge w:val="restart"/>
            <w:tcBorders>
              <w:top w:val="nil"/>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18AF9D67"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 d'agréments</w:t>
            </w:r>
          </w:p>
        </w:tc>
        <w:tc>
          <w:tcPr>
            <w:tcW w:w="1620" w:type="dxa"/>
            <w:vMerge w:val="restart"/>
            <w:tcBorders>
              <w:top w:val="nil"/>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24363483"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Agrément seul</w:t>
            </w:r>
          </w:p>
        </w:tc>
        <w:tc>
          <w:tcPr>
            <w:tcW w:w="1620" w:type="dxa"/>
            <w:vMerge w:val="restart"/>
            <w:tcBorders>
              <w:top w:val="nil"/>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4E8952FD"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Multi-agrément</w:t>
            </w:r>
          </w:p>
        </w:tc>
      </w:tr>
      <w:tr w:rsidRPr="00BC65B4" w:rsidR="00BC65B4" w:rsidTr="00CE7B42" w14:paraId="587DD231" w14:textId="77777777">
        <w:trPr>
          <w:trHeight w:val="70"/>
        </w:trPr>
        <w:tc>
          <w:tcPr>
            <w:tcW w:w="2860" w:type="dxa"/>
            <w:vMerge/>
            <w:tcBorders>
              <w:top w:val="nil"/>
              <w:left w:val="single" w:color="auto" w:sz="4" w:space="0"/>
              <w:bottom w:val="single" w:color="auto" w:sz="4" w:space="0"/>
              <w:right w:val="single" w:color="auto" w:sz="4" w:space="0"/>
            </w:tcBorders>
            <w:vAlign w:val="center"/>
            <w:hideMark/>
          </w:tcPr>
          <w:p w:rsidRPr="00BC65B4" w:rsidR="00BC65B4" w:rsidP="00CE7B42" w:rsidRDefault="00BC65B4" w14:paraId="428E0664" w14:textId="77777777">
            <w:pPr>
              <w:spacing w:after="0" w:line="240" w:lineRule="auto"/>
              <w:rPr>
                <w:rFonts w:eastAsia="Times New Roman" w:cstheme="minorHAnsi"/>
                <w:b/>
                <w:bCs/>
                <w:color w:val="000000"/>
                <w:lang w:val="fr-FR" w:eastAsia="fr-BE"/>
              </w:rPr>
            </w:pPr>
          </w:p>
        </w:tc>
        <w:tc>
          <w:tcPr>
            <w:tcW w:w="1620" w:type="dxa"/>
            <w:vMerge/>
            <w:tcBorders>
              <w:top w:val="nil"/>
              <w:left w:val="single" w:color="auto" w:sz="4" w:space="0"/>
              <w:bottom w:val="single" w:color="auto" w:sz="4" w:space="0"/>
              <w:right w:val="single" w:color="auto" w:sz="4" w:space="0"/>
            </w:tcBorders>
            <w:vAlign w:val="center"/>
            <w:hideMark/>
          </w:tcPr>
          <w:p w:rsidRPr="00BC65B4" w:rsidR="00BC65B4" w:rsidP="00CE7B42" w:rsidRDefault="00BC65B4" w14:paraId="5D980716" w14:textId="77777777">
            <w:pPr>
              <w:spacing w:after="0" w:line="240" w:lineRule="auto"/>
              <w:rPr>
                <w:rFonts w:eastAsia="Times New Roman" w:cstheme="minorHAnsi"/>
                <w:b/>
                <w:bCs/>
                <w:color w:val="000000"/>
                <w:lang w:val="fr-FR" w:eastAsia="fr-BE"/>
              </w:rPr>
            </w:pPr>
          </w:p>
        </w:tc>
        <w:tc>
          <w:tcPr>
            <w:tcW w:w="1620" w:type="dxa"/>
            <w:vMerge/>
            <w:tcBorders>
              <w:top w:val="nil"/>
              <w:left w:val="single" w:color="auto" w:sz="4" w:space="0"/>
              <w:bottom w:val="single" w:color="auto" w:sz="4" w:space="0"/>
              <w:right w:val="single" w:color="auto" w:sz="4" w:space="0"/>
            </w:tcBorders>
            <w:vAlign w:val="center"/>
            <w:hideMark/>
          </w:tcPr>
          <w:p w:rsidRPr="00BC65B4" w:rsidR="00BC65B4" w:rsidP="00CE7B42" w:rsidRDefault="00BC65B4" w14:paraId="2C54D240" w14:textId="77777777">
            <w:pPr>
              <w:spacing w:after="0" w:line="240" w:lineRule="auto"/>
              <w:rPr>
                <w:rFonts w:eastAsia="Times New Roman" w:cstheme="minorHAnsi"/>
                <w:b/>
                <w:bCs/>
                <w:color w:val="000000"/>
                <w:lang w:val="fr-FR" w:eastAsia="fr-BE"/>
              </w:rPr>
            </w:pPr>
          </w:p>
        </w:tc>
        <w:tc>
          <w:tcPr>
            <w:tcW w:w="1620" w:type="dxa"/>
            <w:vMerge/>
            <w:tcBorders>
              <w:top w:val="nil"/>
              <w:left w:val="single" w:color="auto" w:sz="4" w:space="0"/>
              <w:bottom w:val="single" w:color="auto" w:sz="4" w:space="0"/>
              <w:right w:val="single" w:color="auto" w:sz="4" w:space="0"/>
            </w:tcBorders>
            <w:vAlign w:val="center"/>
            <w:hideMark/>
          </w:tcPr>
          <w:p w:rsidRPr="00BC65B4" w:rsidR="00BC65B4" w:rsidP="00CE7B42" w:rsidRDefault="00BC65B4" w14:paraId="4D12B35F" w14:textId="77777777">
            <w:pPr>
              <w:spacing w:after="0" w:line="240" w:lineRule="auto"/>
              <w:rPr>
                <w:rFonts w:eastAsia="Times New Roman" w:cstheme="minorHAnsi"/>
                <w:b/>
                <w:bCs/>
                <w:color w:val="000000"/>
                <w:lang w:val="fr-FR" w:eastAsia="fr-BE"/>
              </w:rPr>
            </w:pPr>
          </w:p>
        </w:tc>
        <w:tc>
          <w:tcPr>
            <w:tcW w:w="36" w:type="dxa"/>
            <w:tcBorders>
              <w:top w:val="nil"/>
              <w:left w:val="nil"/>
              <w:bottom w:val="nil"/>
              <w:right w:val="nil"/>
            </w:tcBorders>
            <w:shd w:val="clear" w:color="auto" w:fill="auto"/>
            <w:noWrap/>
            <w:vAlign w:val="bottom"/>
            <w:hideMark/>
          </w:tcPr>
          <w:p w:rsidRPr="00BC65B4" w:rsidR="00BC65B4" w:rsidP="00CE7B42" w:rsidRDefault="00BC65B4" w14:paraId="61782059" w14:textId="77777777">
            <w:pPr>
              <w:spacing w:after="0" w:line="240" w:lineRule="auto"/>
              <w:jc w:val="center"/>
              <w:rPr>
                <w:rFonts w:eastAsia="Times New Roman" w:cstheme="minorHAnsi"/>
                <w:b/>
                <w:bCs/>
                <w:color w:val="000000"/>
                <w:lang w:val="fr-FR" w:eastAsia="fr-BE"/>
              </w:rPr>
            </w:pPr>
          </w:p>
        </w:tc>
      </w:tr>
      <w:tr w:rsidRPr="00BC65B4" w:rsidR="00BC65B4" w:rsidTr="00CE7B42" w14:paraId="3D042CED" w14:textId="77777777">
        <w:trPr>
          <w:trHeight w:val="300"/>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6DF59629"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AES 1 </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018EA67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539</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589521E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368</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C43AD9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171</w:t>
            </w:r>
          </w:p>
        </w:tc>
        <w:tc>
          <w:tcPr>
            <w:tcW w:w="36" w:type="dxa"/>
            <w:vAlign w:val="center"/>
            <w:hideMark/>
          </w:tcPr>
          <w:p w:rsidRPr="00BC65B4" w:rsidR="00BC65B4" w:rsidP="00CE7B42" w:rsidRDefault="00BC65B4" w14:paraId="7B6717AC" w14:textId="77777777">
            <w:pPr>
              <w:spacing w:after="0" w:line="240" w:lineRule="auto"/>
              <w:rPr>
                <w:rFonts w:eastAsia="Times New Roman" w:cstheme="minorHAnsi"/>
                <w:sz w:val="20"/>
                <w:szCs w:val="20"/>
                <w:lang w:val="fr-FR" w:eastAsia="fr-BE"/>
              </w:rPr>
            </w:pPr>
          </w:p>
        </w:tc>
      </w:tr>
      <w:tr w:rsidRPr="00BC65B4" w:rsidR="00BC65B4" w:rsidTr="00CE7B42" w14:paraId="11DE9667" w14:textId="77777777">
        <w:trPr>
          <w:trHeight w:val="300"/>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643C5B49"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AES 2 </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7A86DB8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81</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2A0CC5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25</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0DCC210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56</w:t>
            </w:r>
          </w:p>
        </w:tc>
        <w:tc>
          <w:tcPr>
            <w:tcW w:w="36" w:type="dxa"/>
            <w:vAlign w:val="center"/>
            <w:hideMark/>
          </w:tcPr>
          <w:p w:rsidRPr="00BC65B4" w:rsidR="00BC65B4" w:rsidP="00CE7B42" w:rsidRDefault="00BC65B4" w14:paraId="6B1B5025" w14:textId="77777777">
            <w:pPr>
              <w:spacing w:after="0" w:line="240" w:lineRule="auto"/>
              <w:rPr>
                <w:rFonts w:eastAsia="Times New Roman" w:cstheme="minorHAnsi"/>
                <w:sz w:val="20"/>
                <w:szCs w:val="20"/>
                <w:lang w:val="fr-FR" w:eastAsia="fr-BE"/>
              </w:rPr>
            </w:pPr>
          </w:p>
        </w:tc>
      </w:tr>
      <w:tr w:rsidRPr="00BC65B4" w:rsidR="00BC65B4" w:rsidTr="00CE7B42" w14:paraId="42790374" w14:textId="77777777">
        <w:trPr>
          <w:trHeight w:val="300"/>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233CA3BE"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EDD </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8627DF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266</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586A98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182</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3A222FC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84</w:t>
            </w:r>
          </w:p>
        </w:tc>
        <w:tc>
          <w:tcPr>
            <w:tcW w:w="36" w:type="dxa"/>
            <w:vAlign w:val="center"/>
            <w:hideMark/>
          </w:tcPr>
          <w:p w:rsidRPr="00BC65B4" w:rsidR="00BC65B4" w:rsidP="00CE7B42" w:rsidRDefault="00BC65B4" w14:paraId="4C8FC4AD" w14:textId="77777777">
            <w:pPr>
              <w:spacing w:after="0" w:line="240" w:lineRule="auto"/>
              <w:rPr>
                <w:rFonts w:eastAsia="Times New Roman" w:cstheme="minorHAnsi"/>
                <w:sz w:val="20"/>
                <w:szCs w:val="20"/>
                <w:lang w:val="fr-FR" w:eastAsia="fr-BE"/>
              </w:rPr>
            </w:pPr>
          </w:p>
        </w:tc>
      </w:tr>
      <w:tr w:rsidRPr="00BC65B4" w:rsidR="00BC65B4" w:rsidTr="00CE7B42" w14:paraId="333E5581" w14:textId="77777777">
        <w:trPr>
          <w:trHeight w:val="300"/>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3786547B"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CDV </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3763B64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843</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075448C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627</w:t>
            </w:r>
          </w:p>
        </w:tc>
        <w:tc>
          <w:tcPr>
            <w:tcW w:w="162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778368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216</w:t>
            </w:r>
          </w:p>
        </w:tc>
        <w:tc>
          <w:tcPr>
            <w:tcW w:w="36" w:type="dxa"/>
            <w:vAlign w:val="center"/>
            <w:hideMark/>
          </w:tcPr>
          <w:p w:rsidRPr="00BC65B4" w:rsidR="00BC65B4" w:rsidP="00CE7B42" w:rsidRDefault="00BC65B4" w14:paraId="69D1DDFE" w14:textId="77777777">
            <w:pPr>
              <w:spacing w:after="0" w:line="240" w:lineRule="auto"/>
              <w:rPr>
                <w:rFonts w:eastAsia="Times New Roman" w:cstheme="minorHAnsi"/>
                <w:sz w:val="20"/>
                <w:szCs w:val="20"/>
                <w:lang w:val="fr-FR" w:eastAsia="fr-BE"/>
              </w:rPr>
            </w:pPr>
          </w:p>
        </w:tc>
      </w:tr>
    </w:tbl>
    <w:p w:rsidRPr="00BC65B4" w:rsidR="00BC65B4" w:rsidP="00BC65B4" w:rsidRDefault="00BC65B4" w14:paraId="796315D8" w14:textId="77777777">
      <w:pPr>
        <w:spacing w:before="240"/>
        <w:jc w:val="both"/>
        <w:rPr>
          <w:rFonts w:cstheme="minorHAnsi"/>
          <w:lang w:val="fr-FR"/>
        </w:rPr>
      </w:pPr>
      <w:r w:rsidRPr="00BC65B4">
        <w:rPr>
          <w:rFonts w:cstheme="minorHAnsi"/>
          <w:lang w:val="fr-FR"/>
        </w:rPr>
        <w:t>Les multi agréments sont de différents types, mais on peut principalement identifier la combinaison entre l’AES1 et les CDV. Cette situation s’explique facilement. En effet, comme l’AES1 n’est actif que pendant les périodes scolaires, certains opérateurs trouvent une occupation pour leur personnel pendant les périodes de vacances dans l’organisation d’activités de CDV. Cette nécessité de continuité dans le financement de l’emploi afin de garantir sa stabilité plaide pour une meilleure transversalité des financements au sein de l’AES1 et des CDV. Ce n’est pas la même chose pour l’AES2 qui exerce tant durant l’année scolaire que durant les périodes de vacances. Le tableau ci-dessous atteste ce constat :</w:t>
      </w:r>
    </w:p>
    <w:tbl>
      <w:tblPr>
        <w:tblW w:w="5000" w:type="pct"/>
        <w:tblCellMar>
          <w:left w:w="70" w:type="dxa"/>
          <w:right w:w="70" w:type="dxa"/>
        </w:tblCellMar>
        <w:tblLook w:val="04A0" w:firstRow="1" w:lastRow="0" w:firstColumn="1" w:lastColumn="0" w:noHBand="0" w:noVBand="1"/>
      </w:tblPr>
      <w:tblGrid>
        <w:gridCol w:w="2680"/>
        <w:gridCol w:w="1588"/>
        <w:gridCol w:w="1294"/>
        <w:gridCol w:w="1295"/>
        <w:gridCol w:w="1101"/>
        <w:gridCol w:w="1104"/>
      </w:tblGrid>
      <w:tr w:rsidRPr="00BC65B4" w:rsidR="00BC65B4" w:rsidTr="00CE7B42" w14:paraId="658A88E8" w14:textId="77777777">
        <w:trPr>
          <w:trHeight w:val="300"/>
        </w:trPr>
        <w:tc>
          <w:tcPr>
            <w:tcW w:w="1486" w:type="pct"/>
            <w:vMerge w:val="restar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6949F375"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Type d'opérateurs</w:t>
            </w:r>
          </w:p>
        </w:tc>
        <w:tc>
          <w:tcPr>
            <w:tcW w:w="842" w:type="pct"/>
            <w:vMerge w:val="restar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550DB03C"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Multi-agrément</w:t>
            </w:r>
          </w:p>
        </w:tc>
        <w:tc>
          <w:tcPr>
            <w:tcW w:w="2672" w:type="pct"/>
            <w:gridSpan w:val="4"/>
            <w:tcBorders>
              <w:top w:val="single" w:color="auto" w:sz="4" w:space="0"/>
              <w:left w:val="nil"/>
              <w:bottom w:val="single" w:color="auto" w:sz="4" w:space="0"/>
              <w:right w:val="single" w:color="auto" w:sz="4" w:space="0"/>
            </w:tcBorders>
            <w:shd w:val="clear" w:color="000000" w:fill="FFC000"/>
            <w:noWrap/>
            <w:vAlign w:val="bottom"/>
            <w:hideMark/>
          </w:tcPr>
          <w:p w:rsidRPr="00BC65B4" w:rsidR="00BC65B4" w:rsidP="00CE7B42" w:rsidRDefault="00BC65B4" w14:paraId="092EDABF"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Combinaisons multi-agréments</w:t>
            </w:r>
          </w:p>
        </w:tc>
      </w:tr>
      <w:tr w:rsidRPr="00BC65B4" w:rsidR="00BC65B4" w:rsidTr="00CE7B42" w14:paraId="161BC063" w14:textId="77777777">
        <w:trPr>
          <w:trHeight w:val="300"/>
        </w:trPr>
        <w:tc>
          <w:tcPr>
            <w:tcW w:w="1486" w:type="pct"/>
            <w:vMerge/>
            <w:tcBorders>
              <w:top w:val="single" w:color="auto" w:sz="4" w:space="0"/>
              <w:left w:val="single" w:color="auto" w:sz="4" w:space="0"/>
              <w:bottom w:val="single" w:color="auto" w:sz="4" w:space="0"/>
              <w:right w:val="single" w:color="auto" w:sz="4" w:space="0"/>
            </w:tcBorders>
            <w:vAlign w:val="center"/>
            <w:hideMark/>
          </w:tcPr>
          <w:p w:rsidRPr="00BC65B4" w:rsidR="00BC65B4" w:rsidP="00CE7B42" w:rsidRDefault="00BC65B4" w14:paraId="0EB31CFA" w14:textId="77777777">
            <w:pPr>
              <w:spacing w:after="0" w:line="240" w:lineRule="auto"/>
              <w:rPr>
                <w:rFonts w:eastAsia="Times New Roman" w:cstheme="minorHAnsi"/>
                <w:b/>
                <w:bCs/>
                <w:color w:val="000000"/>
                <w:lang w:val="fr-FR" w:eastAsia="fr-BE"/>
              </w:rPr>
            </w:pPr>
          </w:p>
        </w:tc>
        <w:tc>
          <w:tcPr>
            <w:tcW w:w="842" w:type="pct"/>
            <w:vMerge/>
            <w:tcBorders>
              <w:top w:val="single" w:color="auto" w:sz="4" w:space="0"/>
              <w:left w:val="single" w:color="auto" w:sz="4" w:space="0"/>
              <w:bottom w:val="single" w:color="auto" w:sz="4" w:space="0"/>
              <w:right w:val="single" w:color="auto" w:sz="4" w:space="0"/>
            </w:tcBorders>
            <w:vAlign w:val="center"/>
            <w:hideMark/>
          </w:tcPr>
          <w:p w:rsidRPr="00BC65B4" w:rsidR="00BC65B4" w:rsidP="00CE7B42" w:rsidRDefault="00BC65B4" w14:paraId="086B5D7E" w14:textId="77777777">
            <w:pPr>
              <w:spacing w:after="0" w:line="240" w:lineRule="auto"/>
              <w:rPr>
                <w:rFonts w:eastAsia="Times New Roman" w:cstheme="minorHAnsi"/>
                <w:b/>
                <w:bCs/>
                <w:color w:val="000000"/>
                <w:lang w:val="fr-FR" w:eastAsia="fr-BE"/>
              </w:rPr>
            </w:pPr>
          </w:p>
        </w:tc>
        <w:tc>
          <w:tcPr>
            <w:tcW w:w="721" w:type="pct"/>
            <w:tcBorders>
              <w:top w:val="nil"/>
              <w:left w:val="nil"/>
              <w:bottom w:val="single" w:color="auto" w:sz="4" w:space="0"/>
              <w:right w:val="single" w:color="auto" w:sz="4" w:space="0"/>
            </w:tcBorders>
            <w:shd w:val="clear" w:color="000000" w:fill="FFC000"/>
            <w:noWrap/>
            <w:vAlign w:val="bottom"/>
            <w:hideMark/>
          </w:tcPr>
          <w:p w:rsidRPr="00BC65B4" w:rsidR="00BC65B4" w:rsidP="00CE7B42" w:rsidRDefault="00BC65B4" w14:paraId="19EE66DE"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AES1</w:t>
            </w:r>
          </w:p>
        </w:tc>
        <w:tc>
          <w:tcPr>
            <w:tcW w:w="721" w:type="pct"/>
            <w:tcBorders>
              <w:top w:val="nil"/>
              <w:left w:val="nil"/>
              <w:bottom w:val="single" w:color="auto" w:sz="4" w:space="0"/>
              <w:right w:val="single" w:color="auto" w:sz="4" w:space="0"/>
            </w:tcBorders>
            <w:shd w:val="clear" w:color="000000" w:fill="FFC000"/>
            <w:noWrap/>
            <w:vAlign w:val="bottom"/>
            <w:hideMark/>
          </w:tcPr>
          <w:p w:rsidRPr="00BC65B4" w:rsidR="00BC65B4" w:rsidP="00CE7B42" w:rsidRDefault="00BC65B4" w14:paraId="69ED200C"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AES2</w:t>
            </w:r>
          </w:p>
        </w:tc>
        <w:tc>
          <w:tcPr>
            <w:tcW w:w="614" w:type="pct"/>
            <w:tcBorders>
              <w:top w:val="nil"/>
              <w:left w:val="nil"/>
              <w:bottom w:val="single" w:color="auto" w:sz="4" w:space="0"/>
              <w:right w:val="single" w:color="auto" w:sz="4" w:space="0"/>
            </w:tcBorders>
            <w:shd w:val="clear" w:color="000000" w:fill="FFC000"/>
            <w:noWrap/>
            <w:vAlign w:val="bottom"/>
            <w:hideMark/>
          </w:tcPr>
          <w:p w:rsidRPr="00BC65B4" w:rsidR="00BC65B4" w:rsidP="00CE7B42" w:rsidRDefault="00BC65B4" w14:paraId="48F35E8D"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EDD</w:t>
            </w:r>
          </w:p>
        </w:tc>
        <w:tc>
          <w:tcPr>
            <w:tcW w:w="616" w:type="pct"/>
            <w:tcBorders>
              <w:top w:val="nil"/>
              <w:left w:val="nil"/>
              <w:bottom w:val="single" w:color="auto" w:sz="4" w:space="0"/>
              <w:right w:val="single" w:color="auto" w:sz="4" w:space="0"/>
            </w:tcBorders>
            <w:shd w:val="clear" w:color="000000" w:fill="FFC000"/>
            <w:noWrap/>
            <w:vAlign w:val="bottom"/>
            <w:hideMark/>
          </w:tcPr>
          <w:p w:rsidRPr="00BC65B4" w:rsidR="00BC65B4" w:rsidP="00CE7B42" w:rsidRDefault="00BC65B4" w14:paraId="3B7F1A2B"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CDV</w:t>
            </w:r>
          </w:p>
        </w:tc>
      </w:tr>
      <w:tr w:rsidRPr="00BC65B4" w:rsidR="00BC65B4" w:rsidTr="00CE7B42" w14:paraId="4A117A16" w14:textId="77777777">
        <w:trPr>
          <w:trHeight w:val="300"/>
        </w:trPr>
        <w:tc>
          <w:tcPr>
            <w:tcW w:w="1486" w:type="pct"/>
            <w:tcBorders>
              <w:top w:val="nil"/>
              <w:left w:val="single" w:color="auto" w:sz="4" w:space="0"/>
              <w:bottom w:val="single" w:color="auto" w:sz="4" w:space="0"/>
              <w:right w:val="single" w:color="auto" w:sz="4" w:space="0"/>
            </w:tcBorders>
            <w:shd w:val="clear" w:color="auto" w:fill="92D050"/>
            <w:noWrap/>
            <w:vAlign w:val="bottom"/>
            <w:hideMark/>
          </w:tcPr>
          <w:p w:rsidRPr="00BC65B4" w:rsidR="00BC65B4" w:rsidP="00CE7B42" w:rsidRDefault="00BC65B4" w14:paraId="41B0447F"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AES 1 </w:t>
            </w:r>
          </w:p>
        </w:tc>
        <w:tc>
          <w:tcPr>
            <w:tcW w:w="842"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2408E4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171</w:t>
            </w:r>
          </w:p>
        </w:tc>
        <w:tc>
          <w:tcPr>
            <w:tcW w:w="72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19E56D1"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171</w:t>
            </w:r>
          </w:p>
        </w:tc>
        <w:tc>
          <w:tcPr>
            <w:tcW w:w="72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5275456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11</w:t>
            </w:r>
          </w:p>
        </w:tc>
        <w:tc>
          <w:tcPr>
            <w:tcW w:w="61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77F5349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27</w:t>
            </w:r>
          </w:p>
        </w:tc>
        <w:tc>
          <w:tcPr>
            <w:tcW w:w="616" w:type="pct"/>
            <w:tcBorders>
              <w:top w:val="nil"/>
              <w:left w:val="nil"/>
              <w:bottom w:val="single" w:color="auto" w:sz="4" w:space="0"/>
              <w:right w:val="single" w:color="auto" w:sz="4" w:space="0"/>
            </w:tcBorders>
            <w:shd w:val="clear" w:color="auto" w:fill="92D050"/>
            <w:noWrap/>
            <w:vAlign w:val="bottom"/>
            <w:hideMark/>
          </w:tcPr>
          <w:p w:rsidRPr="00BC65B4" w:rsidR="00BC65B4" w:rsidP="00CE7B42" w:rsidRDefault="00BC65B4" w14:paraId="14EFAEC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158</w:t>
            </w:r>
          </w:p>
        </w:tc>
      </w:tr>
      <w:tr w:rsidRPr="00BC65B4" w:rsidR="00BC65B4" w:rsidTr="00CE7B42" w14:paraId="46491840" w14:textId="77777777">
        <w:trPr>
          <w:trHeight w:val="300"/>
        </w:trPr>
        <w:tc>
          <w:tcPr>
            <w:tcW w:w="1486"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1B857DC1"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AES 2 </w:t>
            </w:r>
          </w:p>
        </w:tc>
        <w:tc>
          <w:tcPr>
            <w:tcW w:w="842"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B360DD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56</w:t>
            </w:r>
          </w:p>
        </w:tc>
        <w:tc>
          <w:tcPr>
            <w:tcW w:w="72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13BD917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11</w:t>
            </w:r>
          </w:p>
        </w:tc>
        <w:tc>
          <w:tcPr>
            <w:tcW w:w="72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A82BAC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56</w:t>
            </w:r>
          </w:p>
        </w:tc>
        <w:tc>
          <w:tcPr>
            <w:tcW w:w="61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34444CBE"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29</w:t>
            </w:r>
          </w:p>
        </w:tc>
        <w:tc>
          <w:tcPr>
            <w:tcW w:w="616"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3B40F6CE"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35</w:t>
            </w:r>
          </w:p>
        </w:tc>
      </w:tr>
      <w:tr w:rsidRPr="00BC65B4" w:rsidR="00BC65B4" w:rsidTr="00CE7B42" w14:paraId="5FB79BFB" w14:textId="77777777">
        <w:trPr>
          <w:trHeight w:val="300"/>
        </w:trPr>
        <w:tc>
          <w:tcPr>
            <w:tcW w:w="1486"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7D3419C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EDD </w:t>
            </w:r>
          </w:p>
        </w:tc>
        <w:tc>
          <w:tcPr>
            <w:tcW w:w="842"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52CEC36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84</w:t>
            </w:r>
          </w:p>
        </w:tc>
        <w:tc>
          <w:tcPr>
            <w:tcW w:w="72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12B693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27</w:t>
            </w:r>
          </w:p>
        </w:tc>
        <w:tc>
          <w:tcPr>
            <w:tcW w:w="72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597117A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29</w:t>
            </w:r>
          </w:p>
        </w:tc>
        <w:tc>
          <w:tcPr>
            <w:tcW w:w="61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2A67C3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84</w:t>
            </w:r>
          </w:p>
        </w:tc>
        <w:tc>
          <w:tcPr>
            <w:tcW w:w="616"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7F7926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60</w:t>
            </w:r>
          </w:p>
        </w:tc>
      </w:tr>
      <w:tr w:rsidRPr="00BC65B4" w:rsidR="00BC65B4" w:rsidTr="00CE7B42" w14:paraId="18FA25FD" w14:textId="77777777">
        <w:trPr>
          <w:trHeight w:val="300"/>
        </w:trPr>
        <w:tc>
          <w:tcPr>
            <w:tcW w:w="1486" w:type="pct"/>
            <w:tcBorders>
              <w:top w:val="nil"/>
              <w:left w:val="single" w:color="auto" w:sz="4" w:space="0"/>
              <w:bottom w:val="single" w:color="auto" w:sz="4" w:space="0"/>
              <w:right w:val="single" w:color="auto" w:sz="4" w:space="0"/>
            </w:tcBorders>
            <w:shd w:val="clear" w:color="auto" w:fill="92D050"/>
            <w:noWrap/>
            <w:vAlign w:val="bottom"/>
            <w:hideMark/>
          </w:tcPr>
          <w:p w:rsidRPr="00BC65B4" w:rsidR="00BC65B4" w:rsidP="00CE7B42" w:rsidRDefault="00BC65B4" w14:paraId="21E7D8FB"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CDV </w:t>
            </w:r>
          </w:p>
        </w:tc>
        <w:tc>
          <w:tcPr>
            <w:tcW w:w="842"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567BE52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216</w:t>
            </w:r>
          </w:p>
        </w:tc>
        <w:tc>
          <w:tcPr>
            <w:tcW w:w="721" w:type="pct"/>
            <w:tcBorders>
              <w:top w:val="nil"/>
              <w:left w:val="nil"/>
              <w:bottom w:val="single" w:color="auto" w:sz="4" w:space="0"/>
              <w:right w:val="single" w:color="auto" w:sz="4" w:space="0"/>
            </w:tcBorders>
            <w:shd w:val="clear" w:color="auto" w:fill="92D050"/>
            <w:noWrap/>
            <w:vAlign w:val="bottom"/>
            <w:hideMark/>
          </w:tcPr>
          <w:p w:rsidRPr="00BC65B4" w:rsidR="00BC65B4" w:rsidP="00CE7B42" w:rsidRDefault="00BC65B4" w14:paraId="6A121BE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158</w:t>
            </w:r>
          </w:p>
        </w:tc>
        <w:tc>
          <w:tcPr>
            <w:tcW w:w="72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53C60D0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35</w:t>
            </w:r>
          </w:p>
        </w:tc>
        <w:tc>
          <w:tcPr>
            <w:tcW w:w="61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FEE3BF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60</w:t>
            </w:r>
          </w:p>
        </w:tc>
        <w:tc>
          <w:tcPr>
            <w:tcW w:w="616"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17ECFE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216</w:t>
            </w:r>
          </w:p>
        </w:tc>
      </w:tr>
    </w:tbl>
    <w:p w:rsidRPr="00BC65B4" w:rsidR="00BC65B4" w:rsidP="00BC65B4" w:rsidRDefault="00BC65B4" w14:paraId="4F900B50" w14:textId="77777777">
      <w:pPr>
        <w:spacing w:before="240"/>
        <w:jc w:val="both"/>
        <w:rPr>
          <w:rFonts w:cstheme="minorHAnsi"/>
          <w:lang w:val="fr-FR"/>
        </w:rPr>
      </w:pPr>
      <w:r w:rsidRPr="00BC65B4">
        <w:rPr>
          <w:rFonts w:cstheme="minorHAnsi"/>
          <w:lang w:val="fr-FR"/>
        </w:rPr>
        <w:t>La plupart des opérateurs AES1 et 2 et EDD disposent de plusieurs lieux pour lesquels les fréquentations sont collectées. Ce sont principalement ces fréquentations qui définissent le budget qui est alloué aux pouvoirs organisateurs.</w:t>
      </w:r>
    </w:p>
    <w:tbl>
      <w:tblPr>
        <w:tblW w:w="5000" w:type="pct"/>
        <w:tblCellMar>
          <w:left w:w="70" w:type="dxa"/>
          <w:right w:w="70" w:type="dxa"/>
        </w:tblCellMar>
        <w:tblLook w:val="04A0" w:firstRow="1" w:lastRow="0" w:firstColumn="1" w:lastColumn="0" w:noHBand="0" w:noVBand="1"/>
      </w:tblPr>
      <w:tblGrid>
        <w:gridCol w:w="3547"/>
        <w:gridCol w:w="1443"/>
        <w:gridCol w:w="1312"/>
        <w:gridCol w:w="1313"/>
        <w:gridCol w:w="1447"/>
      </w:tblGrid>
      <w:tr w:rsidRPr="00BC65B4" w:rsidR="00BC65B4" w:rsidTr="00CE7B42" w14:paraId="23B11995"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BC65B4" w:rsidR="00BC65B4" w:rsidP="00CE7B42" w:rsidRDefault="00BC65B4" w14:paraId="640EE2F0"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Total</w:t>
            </w:r>
          </w:p>
        </w:tc>
        <w:tc>
          <w:tcPr>
            <w:tcW w:w="744" w:type="pct"/>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2A24FA1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1.729</w:t>
            </w:r>
          </w:p>
        </w:tc>
        <w:tc>
          <w:tcPr>
            <w:tcW w:w="744" w:type="pct"/>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679B033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2.821</w:t>
            </w:r>
          </w:p>
        </w:tc>
        <w:tc>
          <w:tcPr>
            <w:tcW w:w="744" w:type="pct"/>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40D7646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2.709</w:t>
            </w:r>
          </w:p>
        </w:tc>
        <w:tc>
          <w:tcPr>
            <w:tcW w:w="790" w:type="pct"/>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2233437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15.154.077</w:t>
            </w:r>
          </w:p>
        </w:tc>
      </w:tr>
      <w:tr w:rsidRPr="00BC65B4" w:rsidR="00BC65B4" w:rsidTr="00CE7B42" w14:paraId="055837F2" w14:textId="77777777">
        <w:trPr>
          <w:trHeight w:val="600"/>
        </w:trPr>
        <w:tc>
          <w:tcPr>
            <w:tcW w:w="1976" w:type="pct"/>
            <w:tcBorders>
              <w:top w:val="nil"/>
              <w:left w:val="single" w:color="auto" w:sz="4" w:space="0"/>
              <w:bottom w:val="single" w:color="auto" w:sz="4" w:space="0"/>
              <w:right w:val="single" w:color="auto" w:sz="4" w:space="0"/>
            </w:tcBorders>
            <w:shd w:val="clear" w:color="000000" w:fill="FFC000"/>
            <w:noWrap/>
            <w:vAlign w:val="center"/>
            <w:hideMark/>
          </w:tcPr>
          <w:p w:rsidRPr="00BC65B4" w:rsidR="00BC65B4" w:rsidP="00CE7B42" w:rsidRDefault="00BC65B4" w14:paraId="5C2F36AE"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Type d'opérateurs</w:t>
            </w:r>
          </w:p>
        </w:tc>
        <w:tc>
          <w:tcPr>
            <w:tcW w:w="744" w:type="pct"/>
            <w:tcBorders>
              <w:top w:val="nil"/>
              <w:left w:val="nil"/>
              <w:bottom w:val="single" w:color="auto" w:sz="4" w:space="0"/>
              <w:right w:val="single" w:color="auto" w:sz="4" w:space="0"/>
            </w:tcBorders>
            <w:shd w:val="clear" w:color="000000" w:fill="FFC000"/>
            <w:noWrap/>
            <w:vAlign w:val="center"/>
            <w:hideMark/>
          </w:tcPr>
          <w:p w:rsidRPr="00BC65B4" w:rsidR="00BC65B4" w:rsidP="00CE7B42" w:rsidRDefault="00BC65B4" w14:paraId="1A518AFA"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 d'agréments</w:t>
            </w:r>
          </w:p>
        </w:tc>
        <w:tc>
          <w:tcPr>
            <w:tcW w:w="744" w:type="pct"/>
            <w:tcBorders>
              <w:top w:val="nil"/>
              <w:left w:val="nil"/>
              <w:bottom w:val="single" w:color="auto" w:sz="4" w:space="0"/>
              <w:right w:val="single" w:color="auto" w:sz="4" w:space="0"/>
            </w:tcBorders>
            <w:shd w:val="clear" w:color="000000" w:fill="FFC000"/>
            <w:noWrap/>
            <w:vAlign w:val="center"/>
            <w:hideMark/>
          </w:tcPr>
          <w:p w:rsidRPr="00BC65B4" w:rsidR="00BC65B4" w:rsidP="00CE7B42" w:rsidRDefault="00BC65B4" w14:paraId="454D6386"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 lieux</w:t>
            </w:r>
          </w:p>
        </w:tc>
        <w:tc>
          <w:tcPr>
            <w:tcW w:w="744" w:type="pct"/>
            <w:tcBorders>
              <w:top w:val="nil"/>
              <w:left w:val="nil"/>
              <w:bottom w:val="single" w:color="auto" w:sz="4" w:space="0"/>
              <w:right w:val="single" w:color="auto" w:sz="4" w:space="0"/>
            </w:tcBorders>
            <w:shd w:val="clear" w:color="000000" w:fill="FFC000"/>
            <w:vAlign w:val="center"/>
            <w:hideMark/>
          </w:tcPr>
          <w:p w:rsidRPr="00BC65B4" w:rsidR="00BC65B4" w:rsidP="00CE7B42" w:rsidRDefault="00BC65B4" w14:paraId="44EFE931"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 activités (Vacances)</w:t>
            </w:r>
          </w:p>
        </w:tc>
        <w:tc>
          <w:tcPr>
            <w:tcW w:w="790" w:type="pct"/>
            <w:tcBorders>
              <w:top w:val="nil"/>
              <w:left w:val="nil"/>
              <w:bottom w:val="single" w:color="auto" w:sz="4" w:space="0"/>
              <w:right w:val="single" w:color="auto" w:sz="4" w:space="0"/>
            </w:tcBorders>
            <w:shd w:val="clear" w:color="000000" w:fill="FFC000"/>
            <w:vAlign w:val="center"/>
            <w:hideMark/>
          </w:tcPr>
          <w:p w:rsidRPr="00BC65B4" w:rsidR="00BC65B4" w:rsidP="00CE7B42" w:rsidRDefault="00BC65B4" w14:paraId="42D1CAA7"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Fréquentation subsidiée</w:t>
            </w:r>
          </w:p>
        </w:tc>
      </w:tr>
      <w:tr w:rsidRPr="00BC65B4" w:rsidR="00BC65B4" w:rsidTr="00CE7B42" w14:paraId="4297512A" w14:textId="77777777">
        <w:trPr>
          <w:trHeight w:val="300"/>
        </w:trPr>
        <w:tc>
          <w:tcPr>
            <w:tcW w:w="1976"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2466F923"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AES 1 </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1D706C5D"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539</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7CF9EB8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2.058</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1ACE49CE"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w:t>
            </w:r>
          </w:p>
        </w:tc>
        <w:tc>
          <w:tcPr>
            <w:tcW w:w="790"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76F2258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10.884.410</w:t>
            </w:r>
          </w:p>
        </w:tc>
      </w:tr>
      <w:tr w:rsidRPr="00BC65B4" w:rsidR="00BC65B4" w:rsidTr="00CE7B42" w14:paraId="7EA01E5B" w14:textId="77777777">
        <w:trPr>
          <w:trHeight w:val="300"/>
        </w:trPr>
        <w:tc>
          <w:tcPr>
            <w:tcW w:w="1976"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421181EA"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AES 2 </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34B1B6B0"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81</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0BA5F1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395</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8DFF24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565</w:t>
            </w:r>
          </w:p>
        </w:tc>
        <w:tc>
          <w:tcPr>
            <w:tcW w:w="790"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325EEC6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2.960.965</w:t>
            </w:r>
          </w:p>
        </w:tc>
      </w:tr>
      <w:tr w:rsidRPr="00BC65B4" w:rsidR="00BC65B4" w:rsidTr="00CE7B42" w14:paraId="77CB76CD" w14:textId="77777777">
        <w:trPr>
          <w:trHeight w:val="300"/>
        </w:trPr>
        <w:tc>
          <w:tcPr>
            <w:tcW w:w="1976"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5FB97B53"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EDD </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9BCF92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266</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11AEB9B1"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368</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77166615"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w:t>
            </w:r>
          </w:p>
        </w:tc>
        <w:tc>
          <w:tcPr>
            <w:tcW w:w="790"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315728F8"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w:t>
            </w:r>
          </w:p>
        </w:tc>
      </w:tr>
      <w:tr w:rsidRPr="00BC65B4" w:rsidR="00BC65B4" w:rsidTr="00CE7B42" w14:paraId="52B53707" w14:textId="77777777">
        <w:trPr>
          <w:trHeight w:val="300"/>
        </w:trPr>
        <w:tc>
          <w:tcPr>
            <w:tcW w:w="1976"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539985F7"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CDV </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3B5395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843</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1A665617"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w:t>
            </w:r>
          </w:p>
        </w:tc>
        <w:tc>
          <w:tcPr>
            <w:tcW w:w="74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30177C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2.144</w:t>
            </w:r>
          </w:p>
        </w:tc>
        <w:tc>
          <w:tcPr>
            <w:tcW w:w="790"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A5C51A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1.308.702</w:t>
            </w:r>
          </w:p>
        </w:tc>
      </w:tr>
    </w:tbl>
    <w:p w:rsidRPr="00BC65B4" w:rsidR="00BC65B4" w:rsidP="00BC65B4" w:rsidRDefault="00BC65B4" w14:paraId="0D0CECB3" w14:textId="77777777">
      <w:pPr>
        <w:spacing w:before="240" w:after="0"/>
        <w:jc w:val="both"/>
        <w:rPr>
          <w:rFonts w:cstheme="minorHAnsi"/>
          <w:lang w:val="fr-FR"/>
        </w:rPr>
      </w:pPr>
      <w:r w:rsidRPr="00BC65B4">
        <w:rPr>
          <w:rFonts w:cstheme="minorHAnsi"/>
          <w:lang w:val="fr-FR"/>
        </w:rPr>
        <w:t>Les constats par rapport à ce tableau sont les suivants :</w:t>
      </w:r>
    </w:p>
    <w:p w:rsidRPr="00BC65B4" w:rsidR="00BC65B4" w:rsidP="1BDE9D1E" w:rsidRDefault="00BC65B4" w14:paraId="43E14ABF" w14:textId="047B63D5">
      <w:pPr>
        <w:pStyle w:val="ListParagraph"/>
        <w:numPr>
          <w:ilvl w:val="0"/>
          <w:numId w:val="6"/>
        </w:numPr>
        <w:jc w:val="both"/>
        <w:rPr>
          <w:rFonts w:cs="Calibri" w:cstheme="minorAscii"/>
          <w:lang w:val="fr-FR"/>
        </w:rPr>
      </w:pPr>
      <w:r w:rsidRPr="1BDE9D1E" w:rsidR="00BC65B4">
        <w:rPr>
          <w:rFonts w:cs="Calibri" w:cstheme="minorAscii"/>
          <w:lang w:val="fr-FR"/>
        </w:rPr>
        <w:t xml:space="preserve">Les opérateurs AES 1 et 2 disposent </w:t>
      </w:r>
      <w:r w:rsidRPr="1BDE9D1E" w:rsidR="0084247D">
        <w:rPr>
          <w:rFonts w:cs="Calibri" w:cstheme="minorAscii"/>
          <w:lang w:val="fr-FR"/>
        </w:rPr>
        <w:t xml:space="preserve">en </w:t>
      </w:r>
      <w:r w:rsidRPr="1BDE9D1E" w:rsidR="00BC65B4">
        <w:rPr>
          <w:rFonts w:cs="Calibri" w:cstheme="minorAscii"/>
          <w:lang w:val="fr-FR"/>
        </w:rPr>
        <w:t>moyenne de 4 lieux par opérateur. Il s’agit dans la majorité des cas d’écoles :</w:t>
      </w:r>
    </w:p>
    <w:p w:rsidRPr="00BC65B4" w:rsidR="00BC65B4" w:rsidP="00BC65B4" w:rsidRDefault="00BC65B4" w14:paraId="34FD524F" w14:textId="77777777">
      <w:pPr>
        <w:pStyle w:val="ListParagraph"/>
        <w:numPr>
          <w:ilvl w:val="1"/>
          <w:numId w:val="6"/>
        </w:numPr>
        <w:jc w:val="both"/>
        <w:rPr>
          <w:rFonts w:cstheme="minorHAnsi"/>
          <w:lang w:val="fr-FR"/>
        </w:rPr>
      </w:pPr>
      <w:r w:rsidRPr="00BC65B4">
        <w:rPr>
          <w:rFonts w:cstheme="minorHAnsi"/>
          <w:lang w:val="fr-FR"/>
        </w:rPr>
        <w:t>98% pour l’AES 1 ;</w:t>
      </w:r>
    </w:p>
    <w:p w:rsidRPr="00BC65B4" w:rsidR="00BC65B4" w:rsidP="00BC65B4" w:rsidRDefault="00BC65B4" w14:paraId="754B8121" w14:textId="77777777">
      <w:pPr>
        <w:pStyle w:val="ListParagraph"/>
        <w:numPr>
          <w:ilvl w:val="1"/>
          <w:numId w:val="6"/>
        </w:numPr>
        <w:jc w:val="both"/>
        <w:rPr>
          <w:rFonts w:cstheme="minorHAnsi"/>
          <w:lang w:val="fr-FR"/>
        </w:rPr>
      </w:pPr>
      <w:r w:rsidRPr="00BC65B4">
        <w:rPr>
          <w:rFonts w:cstheme="minorHAnsi"/>
          <w:lang w:val="fr-FR"/>
        </w:rPr>
        <w:t>75% pour l’AES 2 ;</w:t>
      </w:r>
    </w:p>
    <w:p w:rsidRPr="00BC65B4" w:rsidR="00BC65B4" w:rsidP="1BDE9D1E" w:rsidRDefault="00BC65B4" w14:paraId="2EBA0B9B" w14:textId="4BC625AA">
      <w:pPr>
        <w:pStyle w:val="ListParagraph"/>
        <w:numPr>
          <w:ilvl w:val="1"/>
          <w:numId w:val="19"/>
        </w:numPr>
        <w:spacing w:before="240"/>
        <w:jc w:val="both"/>
        <w:rPr>
          <w:rFonts w:cs="Calibri" w:cstheme="minorAscii"/>
          <w:lang w:val="fr-FR"/>
        </w:rPr>
      </w:pPr>
      <w:r w:rsidRPr="1BDE9D1E" w:rsidR="00BC65B4">
        <w:rPr>
          <w:rFonts w:cs="Calibri" w:cstheme="minorAscii"/>
          <w:lang w:val="fr-FR"/>
        </w:rPr>
        <w:t>La fréquentation totale (</w:t>
      </w:r>
      <w:r w:rsidRPr="1BDE9D1E" w:rsidR="00BC65B4">
        <w:rPr>
          <w:rFonts w:cs="Calibri" w:cstheme="minorAscii"/>
          <w:lang w:val="fr-FR"/>
        </w:rPr>
        <w:t>hors</w:t>
      </w:r>
      <w:r w:rsidRPr="1BDE9D1E" w:rsidR="00BC65B4">
        <w:rPr>
          <w:rFonts w:cs="Calibri" w:cstheme="minorAscii"/>
          <w:lang w:val="fr-FR"/>
        </w:rPr>
        <w:t xml:space="preserve"> EDD, la donnée n’a pu être exportée) est d’un peu plus de 15 millions. La fréquentation est calculée sur la base des présences par jour et ne prend pas en considération le nombre d’heures de présence sur la journée ;</w:t>
      </w:r>
    </w:p>
    <w:p w:rsidRPr="00BC65B4" w:rsidR="00BC65B4" w:rsidP="1BDE9D1E" w:rsidRDefault="00BC65B4" w14:paraId="325C0237" w14:textId="3FD32826">
      <w:pPr>
        <w:pStyle w:val="ListParagraph"/>
        <w:numPr>
          <w:ilvl w:val="0"/>
          <w:numId w:val="6"/>
        </w:numPr>
        <w:spacing w:before="240"/>
        <w:jc w:val="both"/>
        <w:rPr>
          <w:rFonts w:cs="Calibri" w:cstheme="minorAscii"/>
          <w:lang w:val="fr-FR"/>
        </w:rPr>
      </w:pPr>
      <w:r w:rsidRPr="1BDE9D1E" w:rsidR="00BC65B4">
        <w:rPr>
          <w:rFonts w:cs="Calibri" w:cstheme="minorAscii"/>
          <w:lang w:val="fr-FR"/>
        </w:rPr>
        <w:t>La fréquentation sert de base pour le calcul du financement, mais chaque dispositif a ses spécificités</w:t>
      </w:r>
      <w:r w:rsidRPr="1BDE9D1E" w:rsidR="00BC65B4">
        <w:rPr>
          <w:rFonts w:cs="Calibri" w:cstheme="minorAscii"/>
          <w:lang w:val="fr-FR"/>
        </w:rPr>
        <w:t>.</w:t>
      </w:r>
    </w:p>
    <w:p w:rsidRPr="00BC65B4" w:rsidR="00BC65B4" w:rsidP="00BC65B4" w:rsidRDefault="00BC65B4" w14:paraId="0ECDC7B5" w14:textId="77777777">
      <w:pPr>
        <w:spacing w:before="240"/>
        <w:jc w:val="both"/>
        <w:rPr>
          <w:rFonts w:cstheme="minorHAnsi"/>
          <w:lang w:val="fr-FR"/>
        </w:rPr>
      </w:pPr>
      <w:r w:rsidRPr="00BC65B4">
        <w:rPr>
          <w:rFonts w:cstheme="minorHAnsi"/>
          <w:lang w:val="fr-FR"/>
        </w:rPr>
        <w:t>Sur le plan budgétaire, la répartition des montants par dispositif est le suivant :</w:t>
      </w:r>
    </w:p>
    <w:tbl>
      <w:tblPr>
        <w:tblW w:w="5000" w:type="pct"/>
        <w:tblCellMar>
          <w:left w:w="70" w:type="dxa"/>
          <w:right w:w="70" w:type="dxa"/>
        </w:tblCellMar>
        <w:tblLook w:val="04A0" w:firstRow="1" w:lastRow="0" w:firstColumn="1" w:lastColumn="0" w:noHBand="0" w:noVBand="1"/>
      </w:tblPr>
      <w:tblGrid>
        <w:gridCol w:w="3661"/>
        <w:gridCol w:w="1443"/>
        <w:gridCol w:w="1455"/>
        <w:gridCol w:w="1268"/>
        <w:gridCol w:w="1235"/>
      </w:tblGrid>
      <w:tr w:rsidRPr="00BC65B4" w:rsidR="00BC65B4" w:rsidTr="00CE7B42" w14:paraId="4A8FD0E7" w14:textId="77777777">
        <w:trPr>
          <w:trHeight w:val="300"/>
        </w:trPr>
        <w:tc>
          <w:tcPr>
            <w:tcW w:w="2028" w:type="pct"/>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BC65B4" w:rsidR="00BC65B4" w:rsidP="00CE7B42" w:rsidRDefault="00BC65B4" w14:paraId="0773286C"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Total</w:t>
            </w:r>
          </w:p>
        </w:tc>
        <w:tc>
          <w:tcPr>
            <w:tcW w:w="764" w:type="pct"/>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67E27D8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1.729</w:t>
            </w:r>
          </w:p>
        </w:tc>
        <w:tc>
          <w:tcPr>
            <w:tcW w:w="811" w:type="pct"/>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76F6195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15.154.077</w:t>
            </w:r>
          </w:p>
        </w:tc>
        <w:tc>
          <w:tcPr>
            <w:tcW w:w="708" w:type="pct"/>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5A36865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45.734.283</w:t>
            </w:r>
          </w:p>
        </w:tc>
        <w:tc>
          <w:tcPr>
            <w:tcW w:w="689" w:type="pct"/>
            <w:tcBorders>
              <w:top w:val="single" w:color="auto" w:sz="4" w:space="0"/>
              <w:left w:val="nil"/>
              <w:bottom w:val="single" w:color="auto" w:sz="4" w:space="0"/>
              <w:right w:val="single" w:color="auto" w:sz="4" w:space="0"/>
            </w:tcBorders>
            <w:shd w:val="clear" w:color="000000" w:fill="D9D9D9"/>
            <w:noWrap/>
            <w:vAlign w:val="bottom"/>
            <w:hideMark/>
          </w:tcPr>
          <w:p w:rsidRPr="00BC65B4" w:rsidR="00BC65B4" w:rsidP="00CE7B42" w:rsidRDefault="00BC65B4" w14:paraId="78CC240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100%</w:t>
            </w:r>
          </w:p>
        </w:tc>
      </w:tr>
      <w:tr w:rsidRPr="00BC65B4" w:rsidR="00BC65B4" w:rsidTr="00CE7B42" w14:paraId="377A7FEB" w14:textId="77777777">
        <w:trPr>
          <w:trHeight w:val="600"/>
        </w:trPr>
        <w:tc>
          <w:tcPr>
            <w:tcW w:w="2028" w:type="pct"/>
            <w:tcBorders>
              <w:top w:val="nil"/>
              <w:left w:val="single" w:color="auto" w:sz="4" w:space="0"/>
              <w:bottom w:val="single" w:color="auto" w:sz="4" w:space="0"/>
              <w:right w:val="single" w:color="auto" w:sz="4" w:space="0"/>
            </w:tcBorders>
            <w:shd w:val="clear" w:color="000000" w:fill="FFC000"/>
            <w:noWrap/>
            <w:vAlign w:val="center"/>
            <w:hideMark/>
          </w:tcPr>
          <w:p w:rsidRPr="00BC65B4" w:rsidR="00BC65B4" w:rsidP="00CE7B42" w:rsidRDefault="00BC65B4" w14:paraId="0A4E0104"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Type d'opérateurs</w:t>
            </w:r>
          </w:p>
        </w:tc>
        <w:tc>
          <w:tcPr>
            <w:tcW w:w="764" w:type="pct"/>
            <w:tcBorders>
              <w:top w:val="nil"/>
              <w:left w:val="nil"/>
              <w:bottom w:val="single" w:color="auto" w:sz="4" w:space="0"/>
              <w:right w:val="single" w:color="auto" w:sz="4" w:space="0"/>
            </w:tcBorders>
            <w:shd w:val="clear" w:color="000000" w:fill="FFC000"/>
            <w:noWrap/>
            <w:vAlign w:val="center"/>
            <w:hideMark/>
          </w:tcPr>
          <w:p w:rsidRPr="00BC65B4" w:rsidR="00BC65B4" w:rsidP="00CE7B42" w:rsidRDefault="00BC65B4" w14:paraId="6D89BAC9"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 d'agréments</w:t>
            </w:r>
          </w:p>
        </w:tc>
        <w:tc>
          <w:tcPr>
            <w:tcW w:w="811" w:type="pct"/>
            <w:tcBorders>
              <w:top w:val="nil"/>
              <w:left w:val="nil"/>
              <w:bottom w:val="single" w:color="auto" w:sz="4" w:space="0"/>
              <w:right w:val="single" w:color="auto" w:sz="4" w:space="0"/>
            </w:tcBorders>
            <w:shd w:val="clear" w:color="000000" w:fill="FFC000"/>
            <w:vAlign w:val="center"/>
            <w:hideMark/>
          </w:tcPr>
          <w:p w:rsidRPr="00BC65B4" w:rsidR="00BC65B4" w:rsidP="00CE7B42" w:rsidRDefault="00BC65B4" w14:paraId="57CFA409"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Fréquentation subsidiée</w:t>
            </w:r>
          </w:p>
        </w:tc>
        <w:tc>
          <w:tcPr>
            <w:tcW w:w="708" w:type="pct"/>
            <w:tcBorders>
              <w:top w:val="nil"/>
              <w:left w:val="nil"/>
              <w:bottom w:val="single" w:color="auto" w:sz="4" w:space="0"/>
              <w:right w:val="single" w:color="auto" w:sz="4" w:space="0"/>
            </w:tcBorders>
            <w:shd w:val="clear" w:color="000000" w:fill="FFC000"/>
            <w:vAlign w:val="center"/>
            <w:hideMark/>
          </w:tcPr>
          <w:p w:rsidRPr="00BC65B4" w:rsidR="00BC65B4" w:rsidP="00CE7B42" w:rsidRDefault="00BC65B4" w14:paraId="53D4C037"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Subsides</w:t>
            </w:r>
          </w:p>
        </w:tc>
        <w:tc>
          <w:tcPr>
            <w:tcW w:w="689" w:type="pct"/>
            <w:tcBorders>
              <w:top w:val="nil"/>
              <w:left w:val="nil"/>
              <w:bottom w:val="single" w:color="auto" w:sz="4" w:space="0"/>
              <w:right w:val="single" w:color="auto" w:sz="4" w:space="0"/>
            </w:tcBorders>
            <w:shd w:val="clear" w:color="000000" w:fill="FFC000"/>
            <w:vAlign w:val="center"/>
            <w:hideMark/>
          </w:tcPr>
          <w:p w:rsidRPr="00BC65B4" w:rsidR="00BC65B4" w:rsidP="00CE7B42" w:rsidRDefault="00BC65B4" w14:paraId="23DEDABE" w14:textId="77777777">
            <w:pPr>
              <w:spacing w:after="0" w:line="240" w:lineRule="auto"/>
              <w:jc w:val="center"/>
              <w:rPr>
                <w:rFonts w:eastAsia="Times New Roman" w:cstheme="minorHAnsi"/>
                <w:b/>
                <w:bCs/>
                <w:color w:val="000000"/>
                <w:lang w:val="fr-FR" w:eastAsia="fr-BE"/>
              </w:rPr>
            </w:pPr>
            <w:r w:rsidRPr="00BC65B4">
              <w:rPr>
                <w:rFonts w:eastAsia="Times New Roman" w:cstheme="minorHAnsi"/>
                <w:b/>
                <w:bCs/>
                <w:color w:val="000000"/>
                <w:lang w:val="fr-FR" w:eastAsia="fr-BE"/>
              </w:rPr>
              <w:t>% Subsides</w:t>
            </w:r>
          </w:p>
        </w:tc>
      </w:tr>
      <w:tr w:rsidRPr="00BC65B4" w:rsidR="00BC65B4" w:rsidTr="00CE7B42" w14:paraId="0D8157D7" w14:textId="77777777">
        <w:trPr>
          <w:trHeight w:val="300"/>
        </w:trPr>
        <w:tc>
          <w:tcPr>
            <w:tcW w:w="2028"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718A2C7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AES 1 </w:t>
            </w:r>
          </w:p>
        </w:tc>
        <w:tc>
          <w:tcPr>
            <w:tcW w:w="76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5CD9BA9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539</w:t>
            </w:r>
          </w:p>
        </w:tc>
        <w:tc>
          <w:tcPr>
            <w:tcW w:w="81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7D8CE9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10.884.410</w:t>
            </w:r>
          </w:p>
        </w:tc>
        <w:tc>
          <w:tcPr>
            <w:tcW w:w="708"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37B0BA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7.973.557</w:t>
            </w:r>
          </w:p>
        </w:tc>
        <w:tc>
          <w:tcPr>
            <w:tcW w:w="689"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627A6BA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w:t>
            </w:r>
          </w:p>
        </w:tc>
      </w:tr>
      <w:tr w:rsidRPr="00BC65B4" w:rsidR="00BC65B4" w:rsidTr="00CE7B42" w14:paraId="1F535608" w14:textId="77777777">
        <w:trPr>
          <w:trHeight w:val="300"/>
        </w:trPr>
        <w:tc>
          <w:tcPr>
            <w:tcW w:w="2028"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361388FB"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AES 2 </w:t>
            </w:r>
          </w:p>
        </w:tc>
        <w:tc>
          <w:tcPr>
            <w:tcW w:w="76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67ACFA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81</w:t>
            </w:r>
          </w:p>
        </w:tc>
        <w:tc>
          <w:tcPr>
            <w:tcW w:w="81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507D755D"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2.960.965</w:t>
            </w:r>
          </w:p>
        </w:tc>
        <w:tc>
          <w:tcPr>
            <w:tcW w:w="708"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780C4AF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31.454.438</w:t>
            </w:r>
          </w:p>
        </w:tc>
        <w:tc>
          <w:tcPr>
            <w:tcW w:w="689"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0AA60D2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69%</w:t>
            </w:r>
          </w:p>
        </w:tc>
      </w:tr>
      <w:tr w:rsidRPr="00BC65B4" w:rsidR="00BC65B4" w:rsidTr="00CE7B42" w14:paraId="1341F032" w14:textId="77777777">
        <w:trPr>
          <w:trHeight w:val="300"/>
        </w:trPr>
        <w:tc>
          <w:tcPr>
            <w:tcW w:w="2028"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5B18219C"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EDD </w:t>
            </w:r>
          </w:p>
        </w:tc>
        <w:tc>
          <w:tcPr>
            <w:tcW w:w="76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7CE3A0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266</w:t>
            </w:r>
          </w:p>
        </w:tc>
        <w:tc>
          <w:tcPr>
            <w:tcW w:w="81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D9629D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w:t>
            </w:r>
          </w:p>
        </w:tc>
        <w:tc>
          <w:tcPr>
            <w:tcW w:w="708"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14D0EA0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2.492.202</w:t>
            </w:r>
          </w:p>
        </w:tc>
        <w:tc>
          <w:tcPr>
            <w:tcW w:w="689"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DAE500E"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w:t>
            </w:r>
          </w:p>
        </w:tc>
      </w:tr>
      <w:tr w:rsidRPr="00BC65B4" w:rsidR="00BC65B4" w:rsidTr="00CE7B42" w14:paraId="5E833AC6" w14:textId="77777777">
        <w:trPr>
          <w:trHeight w:val="300"/>
        </w:trPr>
        <w:tc>
          <w:tcPr>
            <w:tcW w:w="2028" w:type="pct"/>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63A87019"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 xml:space="preserve">CDV </w:t>
            </w:r>
          </w:p>
        </w:tc>
        <w:tc>
          <w:tcPr>
            <w:tcW w:w="764"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FE1694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843</w:t>
            </w:r>
          </w:p>
        </w:tc>
        <w:tc>
          <w:tcPr>
            <w:tcW w:w="811"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15911F8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1.308.702</w:t>
            </w:r>
          </w:p>
        </w:tc>
        <w:tc>
          <w:tcPr>
            <w:tcW w:w="708"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7B73BAE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3.814.086</w:t>
            </w:r>
          </w:p>
        </w:tc>
        <w:tc>
          <w:tcPr>
            <w:tcW w:w="689" w:type="pct"/>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1D75FC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w:t>
            </w:r>
          </w:p>
        </w:tc>
      </w:tr>
    </w:tbl>
    <w:p w:rsidRPr="00BC65B4" w:rsidR="00BC65B4" w:rsidP="00BC65B4" w:rsidRDefault="00BC65B4" w14:paraId="6B72AF12" w14:textId="77777777">
      <w:pPr>
        <w:spacing w:before="240" w:after="0"/>
        <w:jc w:val="both"/>
        <w:rPr>
          <w:rFonts w:cstheme="minorHAnsi"/>
          <w:lang w:val="fr-FR"/>
        </w:rPr>
      </w:pPr>
      <w:r w:rsidRPr="00BC65B4">
        <w:rPr>
          <w:rFonts w:cstheme="minorHAnsi"/>
          <w:lang w:val="fr-FR"/>
        </w:rPr>
        <w:t>Les constats relatifs à ce tableau sont les suivants :</w:t>
      </w:r>
    </w:p>
    <w:p w:rsidRPr="00BC65B4" w:rsidR="00BC65B4" w:rsidP="00BC65B4" w:rsidRDefault="00BC65B4" w14:paraId="29B32A05" w14:textId="77777777">
      <w:pPr>
        <w:pStyle w:val="ListParagraph"/>
        <w:numPr>
          <w:ilvl w:val="0"/>
          <w:numId w:val="6"/>
        </w:numPr>
        <w:jc w:val="both"/>
        <w:rPr>
          <w:rFonts w:cstheme="minorHAnsi"/>
          <w:lang w:val="fr-FR"/>
        </w:rPr>
      </w:pPr>
      <w:r w:rsidRPr="1BDE9D1E" w:rsidR="00BC65B4">
        <w:rPr>
          <w:rFonts w:cs="Calibri" w:cstheme="minorAscii"/>
          <w:lang w:val="fr-FR"/>
        </w:rPr>
        <w:t>Le budget total dédié aux différents dispositifs s’élève à 46M€ ;</w:t>
      </w:r>
    </w:p>
    <w:p w:rsidR="00BC65B4" w:rsidP="00BC65B4" w:rsidRDefault="00BC65B4" w14:paraId="595FCB9F" w14:textId="77777777">
      <w:pPr>
        <w:pStyle w:val="ListParagraph"/>
        <w:numPr>
          <w:ilvl w:val="0"/>
          <w:numId w:val="6"/>
        </w:numPr>
        <w:spacing w:before="240"/>
        <w:jc w:val="both"/>
        <w:rPr>
          <w:rFonts w:cstheme="minorHAnsi"/>
          <w:lang w:val="fr-FR"/>
        </w:rPr>
      </w:pPr>
      <w:r w:rsidRPr="1BDE9D1E" w:rsidR="00BC65B4">
        <w:rPr>
          <w:rFonts w:cs="Calibri" w:cstheme="minorAscii"/>
          <w:lang w:val="fr-FR"/>
        </w:rPr>
        <w:t>Au regard des fréquentations, on constate qu’à fréquentation égale, l’AES 2 est près de 15 fois mieux financé que l’AES 1. Cela s’explique par la reconduction des moyens historiques dont bénéficiaient ces opérateurs autrefois financés au niveau fédéral par le Fonds d'équipements et de services collectifs (FESC).</w:t>
      </w:r>
    </w:p>
    <w:p w:rsidRPr="00BC65B4" w:rsidR="00397089" w:rsidP="00397089" w:rsidRDefault="00397089" w14:paraId="22BF1121" w14:textId="77777777">
      <w:pPr>
        <w:pStyle w:val="ListParagraph"/>
        <w:spacing w:before="240"/>
        <w:jc w:val="both"/>
        <w:rPr>
          <w:rFonts w:cstheme="minorHAnsi"/>
          <w:lang w:val="fr-FR"/>
        </w:rPr>
      </w:pPr>
    </w:p>
    <w:p w:rsidRPr="00BC65B4" w:rsidR="00BC65B4" w:rsidP="00BC65B4" w:rsidRDefault="00BC65B4" w14:paraId="4B136961" w14:textId="77777777">
      <w:pPr>
        <w:spacing w:before="240"/>
        <w:jc w:val="both"/>
        <w:rPr>
          <w:rFonts w:cstheme="minorHAnsi"/>
          <w:lang w:val="fr-FR"/>
        </w:rPr>
      </w:pPr>
      <w:r w:rsidRPr="00BC65B4">
        <w:rPr>
          <w:rFonts w:cstheme="minorHAnsi"/>
          <w:lang w:val="fr-FR"/>
        </w:rPr>
        <w:t>La situation des centres de vacances nécessite un focus particulier car ils cumulent un nombre significatif d’opérateurs agréés non-subventionnés. De nombreux opérateurs cumulent également des activités de séjours et de plaines :</w:t>
      </w:r>
    </w:p>
    <w:tbl>
      <w:tblPr>
        <w:tblW w:w="8860" w:type="dxa"/>
        <w:tblCellMar>
          <w:left w:w="70" w:type="dxa"/>
          <w:right w:w="70" w:type="dxa"/>
        </w:tblCellMar>
        <w:tblLook w:val="04A0" w:firstRow="1" w:lastRow="0" w:firstColumn="1" w:lastColumn="0" w:noHBand="0" w:noVBand="1"/>
      </w:tblPr>
      <w:tblGrid>
        <w:gridCol w:w="3020"/>
        <w:gridCol w:w="1380"/>
        <w:gridCol w:w="1380"/>
        <w:gridCol w:w="1380"/>
        <w:gridCol w:w="1700"/>
      </w:tblGrid>
      <w:tr w:rsidRPr="00BC65B4" w:rsidR="00BC65B4" w:rsidTr="00CE7B42" w14:paraId="407B7CB8" w14:textId="77777777">
        <w:trPr>
          <w:trHeight w:val="300"/>
        </w:trPr>
        <w:tc>
          <w:tcPr>
            <w:tcW w:w="3020" w:type="dxa"/>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42BE872E"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Subvention et type d'activité</w:t>
            </w:r>
          </w:p>
        </w:tc>
        <w:tc>
          <w:tcPr>
            <w:tcW w:w="1380" w:type="dxa"/>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2254BA7E"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PO</w:t>
            </w:r>
          </w:p>
        </w:tc>
        <w:tc>
          <w:tcPr>
            <w:tcW w:w="1380" w:type="dxa"/>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278331E4"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activités</w:t>
            </w:r>
          </w:p>
        </w:tc>
        <w:tc>
          <w:tcPr>
            <w:tcW w:w="1380" w:type="dxa"/>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6F1DC18E"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présences</w:t>
            </w:r>
          </w:p>
        </w:tc>
        <w:tc>
          <w:tcPr>
            <w:tcW w:w="1700" w:type="dxa"/>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63975A99"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Montant subside</w:t>
            </w:r>
          </w:p>
        </w:tc>
      </w:tr>
      <w:tr w:rsidRPr="00BC65B4" w:rsidR="00BC65B4" w:rsidTr="00CE7B42" w14:paraId="1736AA97" w14:textId="77777777">
        <w:trPr>
          <w:trHeight w:val="300"/>
        </w:trPr>
        <w:tc>
          <w:tcPr>
            <w:tcW w:w="302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5C6C7037" w14:textId="77777777">
            <w:pPr>
              <w:spacing w:after="0" w:line="240" w:lineRule="auto"/>
              <w:rPr>
                <w:rFonts w:eastAsia="Times New Roman" w:cstheme="minorHAnsi"/>
                <w:b/>
                <w:bCs/>
                <w:lang w:val="fr-FR" w:eastAsia="fr-BE"/>
              </w:rPr>
            </w:pPr>
            <w:r w:rsidRPr="00BC65B4">
              <w:rPr>
                <w:rFonts w:eastAsia="Times New Roman" w:cstheme="minorHAnsi"/>
                <w:b/>
                <w:bCs/>
                <w:lang w:val="fr-FR" w:eastAsia="fr-BE"/>
              </w:rPr>
              <w:t>Subventionné</w:t>
            </w:r>
          </w:p>
        </w:tc>
        <w:tc>
          <w:tcPr>
            <w:tcW w:w="138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4719D1DC"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810</w:t>
            </w:r>
          </w:p>
        </w:tc>
        <w:tc>
          <w:tcPr>
            <w:tcW w:w="138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4494C3A2"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2.130</w:t>
            </w:r>
          </w:p>
        </w:tc>
        <w:tc>
          <w:tcPr>
            <w:tcW w:w="138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1A21E81C"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1.309.900</w:t>
            </w:r>
          </w:p>
        </w:tc>
        <w:tc>
          <w:tcPr>
            <w:tcW w:w="170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21D22DE0"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3.819.187</w:t>
            </w:r>
          </w:p>
        </w:tc>
      </w:tr>
      <w:tr w:rsidRPr="00BC65B4" w:rsidR="00BC65B4" w:rsidTr="00CE7B42" w14:paraId="46760CAA" w14:textId="77777777">
        <w:trPr>
          <w:trHeight w:val="300"/>
        </w:trPr>
        <w:tc>
          <w:tcPr>
            <w:tcW w:w="302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73B2FE2" w14:textId="77777777">
            <w:pPr>
              <w:spacing w:after="0" w:line="240" w:lineRule="auto"/>
              <w:ind w:firstLine="220" w:firstLineChars="100"/>
              <w:rPr>
                <w:rFonts w:eastAsia="Times New Roman" w:cstheme="minorHAnsi"/>
                <w:color w:val="000000"/>
                <w:lang w:val="fr-FR" w:eastAsia="fr-BE"/>
              </w:rPr>
            </w:pPr>
            <w:r w:rsidRPr="00BC65B4">
              <w:rPr>
                <w:rFonts w:eastAsia="Times New Roman" w:cstheme="minorHAnsi"/>
                <w:color w:val="000000"/>
                <w:lang w:val="fr-FR" w:eastAsia="fr-BE"/>
              </w:rPr>
              <w:t>Plaines</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4A8C07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320</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8EBE35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1.208</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C7CE86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972.287</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EEC9DF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2.956.768</w:t>
            </w:r>
          </w:p>
        </w:tc>
      </w:tr>
      <w:tr w:rsidRPr="00BC65B4" w:rsidR="00BC65B4" w:rsidTr="00CE7B42" w14:paraId="3F944ABF" w14:textId="77777777">
        <w:trPr>
          <w:trHeight w:val="300"/>
        </w:trPr>
        <w:tc>
          <w:tcPr>
            <w:tcW w:w="302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9D0A51C" w14:textId="77777777">
            <w:pPr>
              <w:spacing w:after="0" w:line="240" w:lineRule="auto"/>
              <w:ind w:firstLine="220" w:firstLineChars="100"/>
              <w:rPr>
                <w:rFonts w:eastAsia="Times New Roman" w:cstheme="minorHAnsi"/>
                <w:color w:val="000000"/>
                <w:lang w:val="fr-FR" w:eastAsia="fr-BE"/>
              </w:rPr>
            </w:pPr>
            <w:r w:rsidRPr="00BC65B4">
              <w:rPr>
                <w:rFonts w:eastAsia="Times New Roman" w:cstheme="minorHAnsi"/>
                <w:color w:val="000000"/>
                <w:lang w:val="fr-FR" w:eastAsia="fr-BE"/>
              </w:rPr>
              <w:t>Camps</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45AE45D"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466</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DF7784E"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808</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9CF553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302.674</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20471F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688.828</w:t>
            </w:r>
          </w:p>
        </w:tc>
      </w:tr>
      <w:tr w:rsidRPr="00BC65B4" w:rsidR="00BC65B4" w:rsidTr="00CE7B42" w14:paraId="11E9870D" w14:textId="77777777">
        <w:trPr>
          <w:trHeight w:val="300"/>
        </w:trPr>
        <w:tc>
          <w:tcPr>
            <w:tcW w:w="302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7046890" w14:textId="77777777">
            <w:pPr>
              <w:spacing w:after="0" w:line="240" w:lineRule="auto"/>
              <w:ind w:firstLine="220" w:firstLineChars="100"/>
              <w:rPr>
                <w:rFonts w:eastAsia="Times New Roman" w:cstheme="minorHAnsi"/>
                <w:color w:val="000000"/>
                <w:lang w:val="fr-FR" w:eastAsia="fr-BE"/>
              </w:rPr>
            </w:pPr>
            <w:r w:rsidRPr="00BC65B4">
              <w:rPr>
                <w:rFonts w:eastAsia="Times New Roman" w:cstheme="minorHAnsi"/>
                <w:color w:val="000000"/>
                <w:lang w:val="fr-FR" w:eastAsia="fr-BE"/>
              </w:rPr>
              <w:t>Séjours</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F2C3AB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42</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ED59FF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114</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46617D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34.939</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BACDEB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173.591</w:t>
            </w:r>
          </w:p>
        </w:tc>
      </w:tr>
      <w:tr w:rsidRPr="00BC65B4" w:rsidR="00BC65B4" w:rsidTr="00CE7B42" w14:paraId="1C90BB36" w14:textId="77777777">
        <w:trPr>
          <w:trHeight w:val="300"/>
        </w:trPr>
        <w:tc>
          <w:tcPr>
            <w:tcW w:w="302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46EEAC67" w14:textId="77777777">
            <w:pPr>
              <w:spacing w:after="0" w:line="240" w:lineRule="auto"/>
              <w:rPr>
                <w:rFonts w:eastAsia="Times New Roman" w:cstheme="minorHAnsi"/>
                <w:b/>
                <w:bCs/>
                <w:lang w:val="fr-FR" w:eastAsia="fr-BE"/>
              </w:rPr>
            </w:pPr>
            <w:r w:rsidRPr="00BC65B4">
              <w:rPr>
                <w:rFonts w:eastAsia="Times New Roman" w:cstheme="minorHAnsi"/>
                <w:b/>
                <w:bCs/>
                <w:lang w:val="fr-FR" w:eastAsia="fr-BE"/>
              </w:rPr>
              <w:t>Non-subventionné</w:t>
            </w:r>
          </w:p>
        </w:tc>
        <w:tc>
          <w:tcPr>
            <w:tcW w:w="138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4D58CB7A"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778</w:t>
            </w:r>
          </w:p>
        </w:tc>
        <w:tc>
          <w:tcPr>
            <w:tcW w:w="138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6282DBEA"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1.928</w:t>
            </w:r>
          </w:p>
        </w:tc>
        <w:tc>
          <w:tcPr>
            <w:tcW w:w="138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513B7C9E"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259.492</w:t>
            </w:r>
          </w:p>
        </w:tc>
        <w:tc>
          <w:tcPr>
            <w:tcW w:w="1700" w:type="dxa"/>
            <w:tcBorders>
              <w:top w:val="nil"/>
              <w:left w:val="single" w:color="auto" w:sz="4" w:space="0"/>
              <w:bottom w:val="single" w:color="auto" w:sz="4" w:space="0"/>
              <w:right w:val="single" w:color="auto" w:sz="4" w:space="0"/>
            </w:tcBorders>
            <w:shd w:val="clear" w:color="000000" w:fill="96959A"/>
            <w:noWrap/>
            <w:vAlign w:val="bottom"/>
            <w:hideMark/>
          </w:tcPr>
          <w:p w:rsidRPr="00BC65B4" w:rsidR="00BC65B4" w:rsidP="00CE7B42" w:rsidRDefault="00BC65B4" w14:paraId="7228A6B7"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0</w:t>
            </w:r>
          </w:p>
        </w:tc>
      </w:tr>
      <w:tr w:rsidRPr="00BC65B4" w:rsidR="00BC65B4" w:rsidTr="00CE7B42" w14:paraId="5C1FB47D" w14:textId="77777777">
        <w:trPr>
          <w:trHeight w:val="300"/>
        </w:trPr>
        <w:tc>
          <w:tcPr>
            <w:tcW w:w="302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76ABC56" w14:textId="77777777">
            <w:pPr>
              <w:spacing w:after="0" w:line="240" w:lineRule="auto"/>
              <w:ind w:firstLine="220" w:firstLineChars="100"/>
              <w:rPr>
                <w:rFonts w:eastAsia="Times New Roman" w:cstheme="minorHAnsi"/>
                <w:color w:val="000000"/>
                <w:lang w:val="fr-FR" w:eastAsia="fr-BE"/>
              </w:rPr>
            </w:pPr>
            <w:r w:rsidRPr="00BC65B4">
              <w:rPr>
                <w:rFonts w:eastAsia="Times New Roman" w:cstheme="minorHAnsi"/>
                <w:color w:val="000000"/>
                <w:lang w:val="fr-FR" w:eastAsia="fr-BE"/>
              </w:rPr>
              <w:t>Camps</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4C8388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617</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02CCA71"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1.456</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15F042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164.914</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52F215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0</w:t>
            </w:r>
          </w:p>
        </w:tc>
      </w:tr>
      <w:tr w:rsidRPr="00BC65B4" w:rsidR="00BC65B4" w:rsidTr="00CE7B42" w14:paraId="53D1C87E" w14:textId="77777777">
        <w:trPr>
          <w:trHeight w:val="300"/>
        </w:trPr>
        <w:tc>
          <w:tcPr>
            <w:tcW w:w="302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75C1918" w14:textId="77777777">
            <w:pPr>
              <w:spacing w:after="0" w:line="240" w:lineRule="auto"/>
              <w:ind w:firstLine="220" w:firstLineChars="100"/>
              <w:rPr>
                <w:rFonts w:eastAsia="Times New Roman" w:cstheme="minorHAnsi"/>
                <w:color w:val="000000"/>
                <w:lang w:val="fr-FR" w:eastAsia="fr-BE"/>
              </w:rPr>
            </w:pPr>
            <w:r w:rsidRPr="00BC65B4">
              <w:rPr>
                <w:rFonts w:eastAsia="Times New Roman" w:cstheme="minorHAnsi"/>
                <w:color w:val="000000"/>
                <w:lang w:val="fr-FR" w:eastAsia="fr-BE"/>
              </w:rPr>
              <w:t>Séjours</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33B86F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37</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DB54BA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149</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F24400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17.450</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CB917C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0</w:t>
            </w:r>
          </w:p>
        </w:tc>
      </w:tr>
      <w:tr w:rsidRPr="00BC65B4" w:rsidR="00BC65B4" w:rsidTr="00CE7B42" w14:paraId="5E07D970" w14:textId="77777777">
        <w:trPr>
          <w:trHeight w:val="300"/>
        </w:trPr>
        <w:tc>
          <w:tcPr>
            <w:tcW w:w="302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2056124" w14:textId="77777777">
            <w:pPr>
              <w:spacing w:after="0" w:line="240" w:lineRule="auto"/>
              <w:ind w:firstLine="220" w:firstLineChars="100"/>
              <w:rPr>
                <w:rFonts w:eastAsia="Times New Roman" w:cstheme="minorHAnsi"/>
                <w:color w:val="000000"/>
                <w:lang w:val="fr-FR" w:eastAsia="fr-BE"/>
              </w:rPr>
            </w:pPr>
            <w:r w:rsidRPr="00BC65B4">
              <w:rPr>
                <w:rFonts w:eastAsia="Times New Roman" w:cstheme="minorHAnsi"/>
                <w:color w:val="000000"/>
                <w:lang w:val="fr-FR" w:eastAsia="fr-BE"/>
              </w:rPr>
              <w:t>Plaines</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36C73F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133</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2AA05C0"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323</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FAB7EF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77.128</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13309B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0</w:t>
            </w:r>
          </w:p>
        </w:tc>
      </w:tr>
      <w:tr w:rsidRPr="00BC65B4" w:rsidR="00BC65B4" w:rsidTr="00CE7B42" w14:paraId="2653A4C7" w14:textId="77777777">
        <w:trPr>
          <w:trHeight w:val="300"/>
        </w:trPr>
        <w:tc>
          <w:tcPr>
            <w:tcW w:w="3020" w:type="dxa"/>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6E2D8D7A" w14:textId="77777777">
            <w:pPr>
              <w:spacing w:after="0" w:line="240" w:lineRule="auto"/>
              <w:rPr>
                <w:rFonts w:eastAsia="Times New Roman" w:cstheme="minorHAnsi"/>
                <w:b/>
                <w:bCs/>
                <w:lang w:val="fr-FR" w:eastAsia="fr-BE"/>
              </w:rPr>
            </w:pPr>
            <w:r w:rsidRPr="00BC65B4">
              <w:rPr>
                <w:rFonts w:eastAsia="Times New Roman" w:cstheme="minorHAnsi"/>
                <w:b/>
                <w:bCs/>
                <w:lang w:val="fr-FR" w:eastAsia="fr-BE"/>
              </w:rPr>
              <w:t>Total général</w:t>
            </w:r>
          </w:p>
        </w:tc>
        <w:tc>
          <w:tcPr>
            <w:tcW w:w="1380" w:type="dxa"/>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649981D2"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1.178</w:t>
            </w:r>
          </w:p>
        </w:tc>
        <w:tc>
          <w:tcPr>
            <w:tcW w:w="1380" w:type="dxa"/>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701642E8"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4.058</w:t>
            </w:r>
          </w:p>
        </w:tc>
        <w:tc>
          <w:tcPr>
            <w:tcW w:w="1380" w:type="dxa"/>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2111B485"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1.569.392</w:t>
            </w:r>
          </w:p>
        </w:tc>
        <w:tc>
          <w:tcPr>
            <w:tcW w:w="1700" w:type="dxa"/>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3F471DEB"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3.819.187</w:t>
            </w:r>
          </w:p>
        </w:tc>
      </w:tr>
    </w:tbl>
    <w:p w:rsidRPr="00BC65B4" w:rsidR="00BC65B4" w:rsidP="00BC65B4" w:rsidRDefault="00BC65B4" w14:paraId="71E5290D" w14:textId="77777777">
      <w:pPr>
        <w:spacing w:before="240" w:after="0"/>
        <w:jc w:val="both"/>
        <w:rPr>
          <w:rFonts w:cstheme="minorHAnsi"/>
          <w:lang w:val="fr-FR"/>
        </w:rPr>
      </w:pPr>
      <w:r w:rsidRPr="00BC65B4">
        <w:rPr>
          <w:rFonts w:cstheme="minorHAnsi"/>
          <w:lang w:val="fr-FR"/>
        </w:rPr>
        <w:t>Les constats par rapport à ce tableau</w:t>
      </w:r>
      <w:r w:rsidRPr="00BC65B4">
        <w:rPr>
          <w:rStyle w:val="FootnoteReference"/>
          <w:rFonts w:cstheme="minorHAnsi"/>
          <w:lang w:val="fr-FR"/>
        </w:rPr>
        <w:footnoteReference w:id="2"/>
      </w:r>
      <w:r w:rsidRPr="00BC65B4">
        <w:rPr>
          <w:rFonts w:cstheme="minorHAnsi"/>
          <w:lang w:val="fr-FR"/>
        </w:rPr>
        <w:t xml:space="preserve"> sont les suivants :</w:t>
      </w:r>
    </w:p>
    <w:p w:rsidRPr="00BC65B4" w:rsidR="00BC65B4" w:rsidP="00BC65B4" w:rsidRDefault="00BC65B4" w14:paraId="7F64D1DA" w14:textId="77777777">
      <w:pPr>
        <w:pStyle w:val="ListParagraph"/>
        <w:numPr>
          <w:ilvl w:val="0"/>
          <w:numId w:val="12"/>
        </w:numPr>
        <w:jc w:val="both"/>
        <w:rPr>
          <w:rFonts w:cstheme="minorHAnsi"/>
          <w:lang w:val="fr-FR"/>
        </w:rPr>
      </w:pPr>
      <w:r w:rsidRPr="00BC65B4">
        <w:rPr>
          <w:rFonts w:cstheme="minorHAnsi"/>
          <w:lang w:val="fr-FR"/>
        </w:rPr>
        <w:t>De nombreux PO sont à la fois subventionnés et non subventionnés cela explique pourquoi le total général de PO (1.178) est nettement inférieur à la somme des catégories (1.588). Cette situation s’explique essentiellement par le caractère aléatoire des demandes de subsides pour les camps de mouvements de jeunesse. Même au sein d’un même PO, les différentes sections sont susceptibles de déclarer ou ne pas déclarer leurs camps. A noter que le principe de l’enveloppe fermée et du coefficient multiplicateur présente des avantages dans ces situations incertaines car elles permettent de respecter le montant de l’enveloppe en adaptant le subside en fonction du nombre de demandes, à la hausse ou à la baisse ;</w:t>
      </w:r>
    </w:p>
    <w:p w:rsidRPr="00BC65B4" w:rsidR="00BC65B4" w:rsidP="00BC65B4" w:rsidRDefault="00BC65B4" w14:paraId="59D39B3E" w14:textId="77777777">
      <w:pPr>
        <w:pStyle w:val="ListParagraph"/>
        <w:numPr>
          <w:ilvl w:val="0"/>
          <w:numId w:val="12"/>
        </w:numPr>
        <w:jc w:val="both"/>
        <w:rPr>
          <w:rFonts w:cstheme="minorHAnsi"/>
          <w:lang w:val="fr-FR"/>
        </w:rPr>
      </w:pPr>
      <w:r w:rsidRPr="00BC65B4">
        <w:rPr>
          <w:rFonts w:cstheme="minorHAnsi"/>
          <w:lang w:val="fr-FR"/>
        </w:rPr>
        <w:t>Les plaines, à l’inverse, sont des opérateurs plus stables qui organisent des activités de manière régulière. Elles cumulent +-75% des présences subventionnées et de l’enveloppe ;</w:t>
      </w:r>
    </w:p>
    <w:p w:rsidRPr="00BC65B4" w:rsidR="00BC65B4" w:rsidP="1BDE9D1E" w:rsidRDefault="00BC65B4" w14:paraId="25F78DE4" w14:textId="5609A5EF">
      <w:pPr>
        <w:pStyle w:val="ListParagraph"/>
        <w:numPr>
          <w:ilvl w:val="0"/>
          <w:numId w:val="12"/>
        </w:numPr>
        <w:jc w:val="both"/>
        <w:rPr>
          <w:rFonts w:cs="Calibri" w:cstheme="minorAscii"/>
          <w:lang w:val="fr-FR"/>
        </w:rPr>
      </w:pPr>
      <w:r w:rsidRPr="1BDE9D1E" w:rsidR="00BC65B4">
        <w:rPr>
          <w:rFonts w:cs="Calibri" w:cstheme="minorAscii"/>
          <w:lang w:val="fr-FR"/>
        </w:rPr>
        <w:t xml:space="preserve">Les séjours </w:t>
      </w:r>
      <w:r w:rsidRPr="1BDE9D1E" w:rsidR="00EF4E9E">
        <w:rPr>
          <w:rFonts w:cs="Calibri" w:cstheme="minorAscii"/>
          <w:lang w:val="fr-FR"/>
        </w:rPr>
        <w:t>représentent un volume de présences et de subsides</w:t>
      </w:r>
      <w:r w:rsidRPr="1BDE9D1E" w:rsidR="00C71C9F">
        <w:rPr>
          <w:rFonts w:cs="Calibri" w:cstheme="minorAscii"/>
          <w:lang w:val="fr-FR"/>
        </w:rPr>
        <w:t xml:space="preserve"> très limité</w:t>
      </w:r>
      <w:r w:rsidRPr="1BDE9D1E" w:rsidR="00BC65B4">
        <w:rPr>
          <w:rFonts w:cs="Calibri" w:cstheme="minorAscii"/>
          <w:lang w:val="fr-FR"/>
        </w:rPr>
        <w:t>.</w:t>
      </w:r>
    </w:p>
    <w:p w:rsidRPr="00BC65B4" w:rsidR="00BC65B4" w:rsidP="00BC65B4" w:rsidRDefault="00BC65B4" w14:paraId="250B1AAD" w14:textId="77777777">
      <w:pPr>
        <w:spacing w:before="240"/>
        <w:jc w:val="both"/>
        <w:rPr>
          <w:rFonts w:cstheme="minorHAnsi"/>
          <w:i/>
          <w:iCs/>
          <w:u w:val="single"/>
          <w:lang w:val="fr-FR"/>
        </w:rPr>
      </w:pPr>
      <w:r w:rsidRPr="00BC65B4">
        <w:rPr>
          <w:rFonts w:cstheme="minorHAnsi"/>
          <w:i/>
          <w:iCs/>
          <w:u w:val="single"/>
          <w:lang w:val="fr-FR"/>
        </w:rPr>
        <w:t>Le budget</w:t>
      </w:r>
    </w:p>
    <w:p w:rsidR="005B1C6E" w:rsidP="005B1C6E" w:rsidRDefault="005B1C6E" w14:paraId="42D75FF2" w14:textId="0B0E5CFE">
      <w:pPr>
        <w:jc w:val="both"/>
        <w:rPr>
          <w:lang w:val="fr-FR"/>
        </w:rPr>
      </w:pPr>
      <w:r w:rsidRPr="1BDE9D1E" w:rsidR="005B1C6E">
        <w:rPr>
          <w:lang w:val="fr-FR"/>
        </w:rPr>
        <w:t xml:space="preserve">En 2023, 65 millions d’euros seront dédiés à l’accueil </w:t>
      </w:r>
      <w:r w:rsidRPr="1BDE9D1E" w:rsidR="009F4273">
        <w:rPr>
          <w:lang w:val="fr-FR"/>
        </w:rPr>
        <w:t>temps libre</w:t>
      </w:r>
      <w:r w:rsidRPr="1BDE9D1E" w:rsidR="005B1C6E">
        <w:rPr>
          <w:lang w:val="fr-FR"/>
        </w:rPr>
        <w:t>.</w:t>
      </w:r>
    </w:p>
    <w:tbl>
      <w:tblPr>
        <w:tblW w:w="7900" w:type="dxa"/>
        <w:jc w:val="center"/>
        <w:tblCellMar>
          <w:left w:w="70" w:type="dxa"/>
          <w:right w:w="70" w:type="dxa"/>
        </w:tblCellMar>
        <w:tblLook w:val="04A0" w:firstRow="1" w:lastRow="0" w:firstColumn="1" w:lastColumn="0" w:noHBand="0" w:noVBand="1"/>
      </w:tblPr>
      <w:tblGrid>
        <w:gridCol w:w="6360"/>
        <w:gridCol w:w="1540"/>
      </w:tblGrid>
      <w:tr w:rsidRPr="00D72BC9" w:rsidR="005B1C6E" w:rsidTr="00CE7B42" w14:paraId="6361A328" w14:textId="77777777">
        <w:trPr>
          <w:trHeight w:val="300"/>
          <w:jc w:val="center"/>
        </w:trPr>
        <w:tc>
          <w:tcPr>
            <w:tcW w:w="6360" w:type="dxa"/>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D72BC9" w:rsidR="005B1C6E" w:rsidP="00CE7B42" w:rsidRDefault="005B1C6E" w14:paraId="5B889F8E" w14:textId="77777777">
            <w:pPr>
              <w:spacing w:after="0" w:line="240" w:lineRule="auto"/>
              <w:jc w:val="both"/>
              <w:rPr>
                <w:rFonts w:ascii="Calibri" w:hAnsi="Calibri" w:eastAsia="Times New Roman" w:cs="Calibri"/>
                <w:b/>
                <w:bCs/>
                <w:color w:val="000000"/>
                <w:lang w:val="fr-FR" w:eastAsia="fr-BE"/>
              </w:rPr>
            </w:pPr>
            <w:r w:rsidRPr="00D72BC9">
              <w:rPr>
                <w:rFonts w:ascii="Calibri" w:hAnsi="Calibri" w:eastAsia="Times New Roman" w:cs="Calibri"/>
                <w:b/>
                <w:bCs/>
                <w:color w:val="000000"/>
                <w:lang w:val="fr-FR" w:eastAsia="fr-BE"/>
              </w:rPr>
              <w:t>Désignation du compte budgétaire</w:t>
            </w:r>
          </w:p>
        </w:tc>
        <w:tc>
          <w:tcPr>
            <w:tcW w:w="1540" w:type="dxa"/>
            <w:tcBorders>
              <w:top w:val="single" w:color="auto" w:sz="4" w:space="0"/>
              <w:left w:val="nil"/>
              <w:bottom w:val="single" w:color="auto" w:sz="4" w:space="0"/>
              <w:right w:val="single" w:color="auto" w:sz="4" w:space="0"/>
            </w:tcBorders>
            <w:shd w:val="clear" w:color="000000" w:fill="FFC000"/>
            <w:noWrap/>
            <w:vAlign w:val="bottom"/>
            <w:hideMark/>
          </w:tcPr>
          <w:p w:rsidRPr="00D72BC9" w:rsidR="005B1C6E" w:rsidP="00CE7B42" w:rsidRDefault="005B1C6E" w14:paraId="235DDFDB" w14:textId="77777777">
            <w:pPr>
              <w:spacing w:after="0" w:line="240" w:lineRule="auto"/>
              <w:jc w:val="both"/>
              <w:rPr>
                <w:rFonts w:ascii="Calibri" w:hAnsi="Calibri" w:eastAsia="Times New Roman" w:cs="Calibri"/>
                <w:b/>
                <w:bCs/>
                <w:color w:val="000000"/>
                <w:lang w:val="fr-FR" w:eastAsia="fr-BE"/>
              </w:rPr>
            </w:pPr>
            <w:r w:rsidRPr="00D72BC9">
              <w:rPr>
                <w:rFonts w:ascii="Calibri" w:hAnsi="Calibri" w:eastAsia="Times New Roman" w:cs="Calibri"/>
                <w:b/>
                <w:bCs/>
                <w:color w:val="000000"/>
                <w:lang w:val="fr-FR" w:eastAsia="fr-BE"/>
              </w:rPr>
              <w:t>Budget actuel</w:t>
            </w:r>
          </w:p>
        </w:tc>
      </w:tr>
      <w:tr w:rsidRPr="00D72BC9" w:rsidR="005B1C6E" w:rsidTr="00CE7B42" w14:paraId="2EB0552E" w14:textId="77777777">
        <w:trPr>
          <w:trHeight w:val="300"/>
          <w:jc w:val="center"/>
        </w:trPr>
        <w:tc>
          <w:tcPr>
            <w:tcW w:w="6360" w:type="dxa"/>
            <w:tcBorders>
              <w:top w:val="nil"/>
              <w:left w:val="single" w:color="auto" w:sz="4" w:space="0"/>
              <w:bottom w:val="single" w:color="auto" w:sz="4" w:space="0"/>
              <w:right w:val="single" w:color="auto" w:sz="4" w:space="0"/>
            </w:tcBorders>
            <w:shd w:val="clear" w:color="auto" w:fill="auto"/>
            <w:noWrap/>
            <w:vAlign w:val="bottom"/>
            <w:hideMark/>
          </w:tcPr>
          <w:p w:rsidRPr="00D72BC9" w:rsidR="005B1C6E" w:rsidP="00CE7B42" w:rsidRDefault="005B1C6E" w14:paraId="33BD2420"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Sub. Coord. &amp; Platef. ATL</w:t>
            </w:r>
          </w:p>
        </w:tc>
        <w:tc>
          <w:tcPr>
            <w:tcW w:w="1540" w:type="dxa"/>
            <w:tcBorders>
              <w:top w:val="nil"/>
              <w:left w:val="nil"/>
              <w:bottom w:val="single" w:color="auto" w:sz="4" w:space="0"/>
              <w:right w:val="single" w:color="auto" w:sz="4" w:space="0"/>
            </w:tcBorders>
            <w:shd w:val="clear" w:color="auto" w:fill="auto"/>
            <w:noWrap/>
            <w:vAlign w:val="bottom"/>
            <w:hideMark/>
          </w:tcPr>
          <w:p w:rsidRPr="00D72BC9" w:rsidR="005B1C6E" w:rsidP="00CE7B42" w:rsidRDefault="005B1C6E" w14:paraId="7A1FBD5B"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7.573.049</w:t>
            </w:r>
          </w:p>
        </w:tc>
      </w:tr>
      <w:tr w:rsidRPr="00D72BC9" w:rsidR="005B1C6E" w:rsidTr="00CE7B42" w14:paraId="02E5590B" w14:textId="77777777">
        <w:trPr>
          <w:trHeight w:val="300"/>
          <w:jc w:val="center"/>
        </w:trPr>
        <w:tc>
          <w:tcPr>
            <w:tcW w:w="6360" w:type="dxa"/>
            <w:tcBorders>
              <w:top w:val="nil"/>
              <w:left w:val="single" w:color="auto" w:sz="4" w:space="0"/>
              <w:bottom w:val="single" w:color="auto" w:sz="4" w:space="0"/>
              <w:right w:val="single" w:color="auto" w:sz="4" w:space="0"/>
            </w:tcBorders>
            <w:shd w:val="clear" w:color="auto" w:fill="auto"/>
            <w:noWrap/>
            <w:vAlign w:val="bottom"/>
            <w:hideMark/>
          </w:tcPr>
          <w:p w:rsidRPr="00D72BC9" w:rsidR="005B1C6E" w:rsidP="00CE7B42" w:rsidRDefault="005B1C6E" w14:paraId="3DC0889F"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Sub. AES 1</w:t>
            </w:r>
          </w:p>
        </w:tc>
        <w:tc>
          <w:tcPr>
            <w:tcW w:w="1540" w:type="dxa"/>
            <w:tcBorders>
              <w:top w:val="nil"/>
              <w:left w:val="nil"/>
              <w:bottom w:val="single" w:color="auto" w:sz="4" w:space="0"/>
              <w:right w:val="single" w:color="auto" w:sz="4" w:space="0"/>
            </w:tcBorders>
            <w:shd w:val="clear" w:color="auto" w:fill="auto"/>
            <w:noWrap/>
            <w:vAlign w:val="bottom"/>
            <w:hideMark/>
          </w:tcPr>
          <w:p w:rsidRPr="00D72BC9" w:rsidR="005B1C6E" w:rsidP="00CE7B42" w:rsidRDefault="005B1C6E" w14:paraId="1E461D78"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11.353.939</w:t>
            </w:r>
          </w:p>
        </w:tc>
      </w:tr>
      <w:tr w:rsidRPr="00D72BC9" w:rsidR="005B1C6E" w:rsidTr="00CE7B42" w14:paraId="3275542C" w14:textId="77777777">
        <w:trPr>
          <w:trHeight w:val="300"/>
          <w:jc w:val="center"/>
        </w:trPr>
        <w:tc>
          <w:tcPr>
            <w:tcW w:w="6360" w:type="dxa"/>
            <w:tcBorders>
              <w:top w:val="nil"/>
              <w:left w:val="single" w:color="auto" w:sz="4" w:space="0"/>
              <w:bottom w:val="single" w:color="auto" w:sz="4" w:space="0"/>
              <w:right w:val="single" w:color="auto" w:sz="4" w:space="0"/>
            </w:tcBorders>
            <w:shd w:val="clear" w:color="auto" w:fill="auto"/>
            <w:noWrap/>
            <w:vAlign w:val="bottom"/>
            <w:hideMark/>
          </w:tcPr>
          <w:p w:rsidRPr="00D72BC9" w:rsidR="005B1C6E" w:rsidP="00CE7B42" w:rsidRDefault="005B1C6E" w14:paraId="3395A34F"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Sub. AES 2</w:t>
            </w:r>
          </w:p>
        </w:tc>
        <w:tc>
          <w:tcPr>
            <w:tcW w:w="1540" w:type="dxa"/>
            <w:tcBorders>
              <w:top w:val="nil"/>
              <w:left w:val="nil"/>
              <w:bottom w:val="single" w:color="auto" w:sz="4" w:space="0"/>
              <w:right w:val="single" w:color="auto" w:sz="4" w:space="0"/>
            </w:tcBorders>
            <w:shd w:val="clear" w:color="auto" w:fill="auto"/>
            <w:noWrap/>
            <w:vAlign w:val="bottom"/>
            <w:hideMark/>
          </w:tcPr>
          <w:p w:rsidRPr="00D72BC9" w:rsidR="005B1C6E" w:rsidP="00CE7B42" w:rsidRDefault="005B1C6E" w14:paraId="0EA6DCE7"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35.284.602</w:t>
            </w:r>
          </w:p>
        </w:tc>
      </w:tr>
      <w:tr w:rsidRPr="00D72BC9" w:rsidR="005B1C6E" w:rsidTr="00CE7B42" w14:paraId="2B4C9437" w14:textId="77777777">
        <w:trPr>
          <w:trHeight w:val="300"/>
          <w:jc w:val="center"/>
        </w:trPr>
        <w:tc>
          <w:tcPr>
            <w:tcW w:w="6360" w:type="dxa"/>
            <w:tcBorders>
              <w:top w:val="nil"/>
              <w:left w:val="single" w:color="auto" w:sz="4" w:space="0"/>
              <w:bottom w:val="single" w:color="auto" w:sz="4" w:space="0"/>
              <w:right w:val="single" w:color="auto" w:sz="4" w:space="0"/>
            </w:tcBorders>
            <w:shd w:val="clear" w:color="auto" w:fill="auto"/>
            <w:noWrap/>
            <w:vAlign w:val="bottom"/>
            <w:hideMark/>
          </w:tcPr>
          <w:p w:rsidRPr="00D72BC9" w:rsidR="005B1C6E" w:rsidP="00CE7B42" w:rsidRDefault="005B1C6E" w14:paraId="5A2AF60C"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Sub. CDV</w:t>
            </w:r>
          </w:p>
        </w:tc>
        <w:tc>
          <w:tcPr>
            <w:tcW w:w="1540" w:type="dxa"/>
            <w:tcBorders>
              <w:top w:val="nil"/>
              <w:left w:val="nil"/>
              <w:bottom w:val="single" w:color="auto" w:sz="4" w:space="0"/>
              <w:right w:val="single" w:color="auto" w:sz="4" w:space="0"/>
            </w:tcBorders>
            <w:shd w:val="clear" w:color="auto" w:fill="auto"/>
            <w:noWrap/>
            <w:vAlign w:val="bottom"/>
            <w:hideMark/>
          </w:tcPr>
          <w:p w:rsidRPr="00D72BC9" w:rsidR="005B1C6E" w:rsidP="00CE7B42" w:rsidRDefault="005B1C6E" w14:paraId="3D2E10F0"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6.117.580</w:t>
            </w:r>
          </w:p>
        </w:tc>
      </w:tr>
      <w:tr w:rsidRPr="00D72BC9" w:rsidR="005B1C6E" w:rsidTr="00CE7B42" w14:paraId="65454610" w14:textId="77777777">
        <w:trPr>
          <w:trHeight w:val="300"/>
          <w:jc w:val="center"/>
        </w:trPr>
        <w:tc>
          <w:tcPr>
            <w:tcW w:w="6360" w:type="dxa"/>
            <w:tcBorders>
              <w:top w:val="nil"/>
              <w:left w:val="single" w:color="auto" w:sz="4" w:space="0"/>
              <w:bottom w:val="single" w:color="auto" w:sz="4" w:space="0"/>
              <w:right w:val="single" w:color="auto" w:sz="4" w:space="0"/>
            </w:tcBorders>
            <w:shd w:val="clear" w:color="auto" w:fill="auto"/>
            <w:noWrap/>
            <w:vAlign w:val="bottom"/>
            <w:hideMark/>
          </w:tcPr>
          <w:p w:rsidRPr="00D72BC9" w:rsidR="005B1C6E" w:rsidP="00CE7B42" w:rsidRDefault="005B1C6E" w14:paraId="33DED155"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Sub. EDD</w:t>
            </w:r>
          </w:p>
        </w:tc>
        <w:tc>
          <w:tcPr>
            <w:tcW w:w="1540" w:type="dxa"/>
            <w:tcBorders>
              <w:top w:val="nil"/>
              <w:left w:val="nil"/>
              <w:bottom w:val="single" w:color="auto" w:sz="4" w:space="0"/>
              <w:right w:val="single" w:color="auto" w:sz="4" w:space="0"/>
            </w:tcBorders>
            <w:shd w:val="clear" w:color="auto" w:fill="auto"/>
            <w:noWrap/>
            <w:vAlign w:val="bottom"/>
            <w:hideMark/>
          </w:tcPr>
          <w:p w:rsidRPr="00D72BC9" w:rsidR="005B1C6E" w:rsidP="00CE7B42" w:rsidRDefault="005B1C6E" w14:paraId="06116B12"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3.121.864</w:t>
            </w:r>
          </w:p>
        </w:tc>
      </w:tr>
      <w:tr w:rsidRPr="00D72BC9" w:rsidR="005B1C6E" w:rsidTr="00CE7B42" w14:paraId="2EEB1785" w14:textId="77777777">
        <w:trPr>
          <w:trHeight w:val="300"/>
          <w:jc w:val="center"/>
        </w:trPr>
        <w:tc>
          <w:tcPr>
            <w:tcW w:w="6360" w:type="dxa"/>
            <w:tcBorders>
              <w:top w:val="nil"/>
              <w:left w:val="single" w:color="auto" w:sz="4" w:space="0"/>
              <w:bottom w:val="single" w:color="auto" w:sz="4" w:space="0"/>
              <w:right w:val="single" w:color="auto" w:sz="4" w:space="0"/>
            </w:tcBorders>
            <w:shd w:val="clear" w:color="auto" w:fill="auto"/>
            <w:noWrap/>
            <w:vAlign w:val="bottom"/>
            <w:hideMark/>
          </w:tcPr>
          <w:p w:rsidRPr="00D72BC9" w:rsidR="005B1C6E" w:rsidP="00CE7B42" w:rsidRDefault="005B1C6E" w14:paraId="2D9DBA51"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Sub. Opérateur PAD</w:t>
            </w:r>
          </w:p>
        </w:tc>
        <w:tc>
          <w:tcPr>
            <w:tcW w:w="1540" w:type="dxa"/>
            <w:tcBorders>
              <w:top w:val="nil"/>
              <w:left w:val="nil"/>
              <w:bottom w:val="single" w:color="auto" w:sz="4" w:space="0"/>
              <w:right w:val="single" w:color="auto" w:sz="4" w:space="0"/>
            </w:tcBorders>
            <w:shd w:val="clear" w:color="auto" w:fill="auto"/>
            <w:noWrap/>
            <w:vAlign w:val="bottom"/>
            <w:hideMark/>
          </w:tcPr>
          <w:p w:rsidRPr="00D72BC9" w:rsidR="005B1C6E" w:rsidP="00CE7B42" w:rsidRDefault="005B1C6E" w14:paraId="17017B7D" w14:textId="77777777">
            <w:pPr>
              <w:spacing w:after="0" w:line="240" w:lineRule="auto"/>
              <w:jc w:val="both"/>
              <w:rPr>
                <w:rFonts w:ascii="Calibri" w:hAnsi="Calibri" w:eastAsia="Times New Roman" w:cs="Calibri"/>
                <w:color w:val="000000"/>
                <w:lang w:val="fr-FR" w:eastAsia="fr-BE"/>
              </w:rPr>
            </w:pPr>
            <w:r w:rsidRPr="00D72BC9">
              <w:rPr>
                <w:rFonts w:ascii="Calibri" w:hAnsi="Calibri" w:eastAsia="Times New Roman" w:cs="Calibri"/>
                <w:color w:val="000000"/>
                <w:lang w:val="fr-FR" w:eastAsia="fr-BE"/>
              </w:rPr>
              <w:t>1.089.333</w:t>
            </w:r>
          </w:p>
        </w:tc>
      </w:tr>
      <w:tr w:rsidRPr="00D72BC9" w:rsidR="005B1C6E" w:rsidTr="00CE7B42" w14:paraId="1DE087CD" w14:textId="77777777">
        <w:trPr>
          <w:trHeight w:val="300"/>
          <w:jc w:val="center"/>
        </w:trPr>
        <w:tc>
          <w:tcPr>
            <w:tcW w:w="6360" w:type="dxa"/>
            <w:tcBorders>
              <w:top w:val="nil"/>
              <w:left w:val="single" w:color="auto" w:sz="4" w:space="0"/>
              <w:bottom w:val="single" w:color="auto" w:sz="4" w:space="0"/>
              <w:right w:val="single" w:color="auto" w:sz="4" w:space="0"/>
            </w:tcBorders>
            <w:shd w:val="clear" w:color="000000" w:fill="D9D9D9"/>
            <w:noWrap/>
            <w:vAlign w:val="bottom"/>
            <w:hideMark/>
          </w:tcPr>
          <w:p w:rsidRPr="00D72BC9" w:rsidR="005B1C6E" w:rsidP="00CE7B42" w:rsidRDefault="005B1C6E" w14:paraId="0BF20A22" w14:textId="77777777">
            <w:pPr>
              <w:spacing w:after="0" w:line="240" w:lineRule="auto"/>
              <w:jc w:val="both"/>
              <w:rPr>
                <w:rFonts w:ascii="Calibri" w:hAnsi="Calibri" w:eastAsia="Times New Roman" w:cs="Calibri"/>
                <w:b/>
                <w:bCs/>
                <w:color w:val="000000"/>
                <w:lang w:val="fr-FR" w:eastAsia="fr-BE"/>
              </w:rPr>
            </w:pPr>
            <w:r w:rsidRPr="00D72BC9">
              <w:rPr>
                <w:rFonts w:ascii="Calibri" w:hAnsi="Calibri" w:eastAsia="Times New Roman" w:cs="Calibri"/>
                <w:b/>
                <w:bCs/>
                <w:color w:val="000000"/>
                <w:lang w:val="fr-FR" w:eastAsia="fr-BE"/>
              </w:rPr>
              <w:t>TOTAL</w:t>
            </w:r>
          </w:p>
        </w:tc>
        <w:tc>
          <w:tcPr>
            <w:tcW w:w="1540" w:type="dxa"/>
            <w:tcBorders>
              <w:top w:val="nil"/>
              <w:left w:val="nil"/>
              <w:bottom w:val="single" w:color="auto" w:sz="4" w:space="0"/>
              <w:right w:val="single" w:color="auto" w:sz="4" w:space="0"/>
            </w:tcBorders>
            <w:shd w:val="clear" w:color="000000" w:fill="D9D9D9"/>
            <w:noWrap/>
            <w:vAlign w:val="bottom"/>
            <w:hideMark/>
          </w:tcPr>
          <w:p w:rsidRPr="00D72BC9" w:rsidR="005B1C6E" w:rsidP="00CE7B42" w:rsidRDefault="005B1C6E" w14:paraId="5F7B7265" w14:textId="77777777">
            <w:pPr>
              <w:spacing w:after="0" w:line="240" w:lineRule="auto"/>
              <w:jc w:val="both"/>
              <w:rPr>
                <w:rFonts w:ascii="Calibri" w:hAnsi="Calibri" w:eastAsia="Times New Roman" w:cs="Calibri"/>
                <w:b/>
                <w:bCs/>
                <w:color w:val="000000"/>
                <w:lang w:val="fr-FR" w:eastAsia="fr-BE"/>
              </w:rPr>
            </w:pPr>
            <w:r w:rsidRPr="00D72BC9">
              <w:rPr>
                <w:rFonts w:ascii="Calibri" w:hAnsi="Calibri" w:eastAsia="Times New Roman" w:cs="Calibri"/>
                <w:b/>
                <w:bCs/>
                <w:color w:val="000000"/>
                <w:lang w:val="fr-FR" w:eastAsia="fr-BE"/>
              </w:rPr>
              <w:t>64.540.367</w:t>
            </w:r>
          </w:p>
        </w:tc>
      </w:tr>
    </w:tbl>
    <w:p w:rsidR="005B1C6E" w:rsidP="005B1C6E" w:rsidRDefault="005B1C6E" w14:paraId="49C687A8" w14:textId="77777777">
      <w:pPr>
        <w:spacing w:after="0"/>
        <w:jc w:val="both"/>
        <w:rPr>
          <w:rFonts w:cstheme="minorHAnsi"/>
          <w:lang w:val="fr-FR"/>
        </w:rPr>
      </w:pPr>
    </w:p>
    <w:p w:rsidRPr="00BC65B4" w:rsidR="00BC65B4" w:rsidP="00BC65B4" w:rsidRDefault="00BC65B4" w14:paraId="360B3730" w14:textId="24D2A40B">
      <w:pPr>
        <w:spacing w:before="240"/>
        <w:jc w:val="both"/>
        <w:rPr>
          <w:rFonts w:cstheme="minorHAnsi"/>
          <w:lang w:val="fr-FR"/>
        </w:rPr>
      </w:pPr>
      <w:r w:rsidRPr="00BC65B4">
        <w:rPr>
          <w:rFonts w:cstheme="minorHAnsi"/>
          <w:lang w:val="fr-FR"/>
        </w:rPr>
        <w:t>Si l’on rentre davantage dans le détail, on constate que le secteur présente une grande variété dans sa structuration qui s’exprime principalement au travers des critères suivants :</w:t>
      </w:r>
    </w:p>
    <w:p w:rsidRPr="00BC65B4" w:rsidR="00BC65B4" w:rsidP="00BC65B4" w:rsidRDefault="00BC65B4" w14:paraId="67510C32" w14:textId="77777777">
      <w:pPr>
        <w:pStyle w:val="ListParagraph"/>
        <w:numPr>
          <w:ilvl w:val="0"/>
          <w:numId w:val="7"/>
        </w:numPr>
        <w:ind w:left="709"/>
        <w:jc w:val="both"/>
        <w:rPr>
          <w:rFonts w:cstheme="minorHAnsi"/>
          <w:lang w:val="fr-FR"/>
        </w:rPr>
      </w:pPr>
      <w:r w:rsidRPr="00BC65B4">
        <w:rPr>
          <w:rFonts w:cstheme="minorHAnsi"/>
          <w:b/>
          <w:lang w:val="fr-FR"/>
        </w:rPr>
        <w:t>La taille de l’opérateur</w:t>
      </w:r>
      <w:r w:rsidRPr="00BC65B4">
        <w:rPr>
          <w:rFonts w:cstheme="minorHAnsi"/>
          <w:lang w:val="fr-FR"/>
        </w:rPr>
        <w:t xml:space="preserve"> qui se caractérise par le nombre de lieux et la fréquentation mais également le nombre de dispositifs qu’il couvre (multi-agréments) ;</w:t>
      </w:r>
    </w:p>
    <w:p w:rsidRPr="00BC65B4" w:rsidR="00BC65B4" w:rsidP="1BDE9D1E" w:rsidRDefault="00BC65B4" w14:paraId="2B4DB940" w14:textId="45798D72">
      <w:pPr>
        <w:pStyle w:val="ListParagraph"/>
        <w:numPr>
          <w:ilvl w:val="0"/>
          <w:numId w:val="7"/>
        </w:numPr>
        <w:ind w:left="709"/>
        <w:jc w:val="both"/>
        <w:rPr>
          <w:rFonts w:cs="Calibri" w:cstheme="minorAscii"/>
          <w:lang w:val="fr-FR"/>
        </w:rPr>
      </w:pPr>
      <w:r w:rsidRPr="1BDE9D1E" w:rsidR="00BC65B4">
        <w:rPr>
          <w:rFonts w:cs="Calibri" w:cstheme="minorAscii"/>
          <w:b w:val="1"/>
          <w:bCs w:val="1"/>
          <w:lang w:val="fr-FR"/>
        </w:rPr>
        <w:t>La diversité des dispositifs</w:t>
      </w:r>
      <w:r w:rsidRPr="1BDE9D1E" w:rsidR="00BC65B4">
        <w:rPr>
          <w:rFonts w:cs="Calibri" w:cstheme="minorAscii"/>
          <w:lang w:val="fr-FR"/>
        </w:rPr>
        <w:t xml:space="preserve"> et des missions et leur nécessaire articulation</w:t>
      </w:r>
      <w:r w:rsidRPr="1BDE9D1E" w:rsidR="00BC65B4">
        <w:rPr>
          <w:rFonts w:cs="Calibri" w:cstheme="minorAscii"/>
          <w:lang w:val="fr-FR"/>
        </w:rPr>
        <w:t> ;</w:t>
      </w:r>
    </w:p>
    <w:p w:rsidRPr="00BC65B4" w:rsidR="00BC65B4" w:rsidP="1BDE9D1E" w:rsidRDefault="00BC65B4" w14:paraId="5FC892FB" w14:textId="628BC987">
      <w:pPr>
        <w:pStyle w:val="ListParagraph"/>
        <w:numPr>
          <w:ilvl w:val="0"/>
          <w:numId w:val="7"/>
        </w:numPr>
        <w:ind w:left="709"/>
        <w:jc w:val="both"/>
        <w:rPr>
          <w:rFonts w:cs="Calibri" w:cstheme="minorAscii"/>
          <w:lang w:val="fr-FR"/>
        </w:rPr>
      </w:pPr>
      <w:r w:rsidRPr="1BDE9D1E" w:rsidR="00BC65B4">
        <w:rPr>
          <w:rFonts w:cs="Calibri" w:cstheme="minorAscii"/>
          <w:lang w:val="fr-FR"/>
        </w:rPr>
        <w:t xml:space="preserve">Les lieux de prestations et </w:t>
      </w:r>
      <w:r w:rsidRPr="1BDE9D1E" w:rsidR="00BC65B4">
        <w:rPr>
          <w:rFonts w:cs="Calibri" w:cstheme="minorAscii"/>
          <w:b w:val="1"/>
          <w:bCs w:val="1"/>
          <w:lang w:val="fr-FR"/>
        </w:rPr>
        <w:t>les liens avec l’école</w:t>
      </w:r>
      <w:r w:rsidRPr="1BDE9D1E" w:rsidR="00BC65B4">
        <w:rPr>
          <w:rFonts w:cs="Calibri" w:cstheme="minorAscii"/>
          <w:lang w:val="fr-FR"/>
        </w:rPr>
        <w:t>. Il apparaît que l’essentiel des opérateurs AES 1 et 2 exercent sur les lieux des écoles mais ce n’est pas systématique. Un nombre conséquent d’opérateurs disposent de leurs propres lieux, notamment les écoles de devoirs</w:t>
      </w:r>
      <w:r w:rsidRPr="1BDE9D1E" w:rsidR="00BC65B4">
        <w:rPr>
          <w:rFonts w:cs="Calibri" w:cstheme="minorAscii"/>
          <w:lang w:val="fr-FR"/>
        </w:rPr>
        <w:t> ;</w:t>
      </w:r>
    </w:p>
    <w:p w:rsidRPr="00BC65B4" w:rsidR="00BC65B4" w:rsidP="00BC65B4" w:rsidRDefault="00BC65B4" w14:paraId="2CBB9302" w14:textId="77777777">
      <w:pPr>
        <w:pStyle w:val="ListParagraph"/>
        <w:numPr>
          <w:ilvl w:val="0"/>
          <w:numId w:val="7"/>
        </w:numPr>
        <w:ind w:left="709"/>
        <w:jc w:val="both"/>
        <w:rPr>
          <w:rFonts w:cstheme="minorHAnsi"/>
          <w:lang w:val="fr-FR"/>
        </w:rPr>
      </w:pPr>
      <w:r w:rsidRPr="00BC65B4">
        <w:rPr>
          <w:rFonts w:cstheme="minorHAnsi"/>
          <w:b/>
          <w:lang w:val="fr-FR"/>
        </w:rPr>
        <w:t>La période d’activité</w:t>
      </w:r>
      <w:r w:rsidRPr="00BC65B4">
        <w:rPr>
          <w:rFonts w:cstheme="minorHAnsi"/>
          <w:lang w:val="fr-FR"/>
        </w:rPr>
        <w:t xml:space="preserve"> des dispositifs, soit en période scolaire, soit en période de vacances rendant compliquée la continuité de l’emploi sauf à être agréé dans différents dispositifs ; </w:t>
      </w:r>
    </w:p>
    <w:p w:rsidRPr="00BC65B4" w:rsidR="00BC65B4" w:rsidP="1BDE9D1E" w:rsidRDefault="00BC65B4" w14:paraId="330375D0" w14:textId="2E3611A6">
      <w:pPr>
        <w:pStyle w:val="ListParagraph"/>
        <w:numPr>
          <w:ilvl w:val="0"/>
          <w:numId w:val="7"/>
        </w:numPr>
        <w:ind w:left="709"/>
        <w:jc w:val="both"/>
        <w:rPr>
          <w:rFonts w:cs="Calibri" w:cstheme="minorAscii"/>
          <w:lang w:val="fr-FR"/>
        </w:rPr>
      </w:pPr>
      <w:r w:rsidRPr="1BDE9D1E" w:rsidR="00BC65B4">
        <w:rPr>
          <w:rFonts w:cs="Calibri" w:cstheme="minorAscii"/>
          <w:b w:val="1"/>
          <w:bCs w:val="1"/>
          <w:lang w:val="fr-FR"/>
        </w:rPr>
        <w:t>Les modalités de financement</w:t>
      </w:r>
      <w:r w:rsidRPr="1BDE9D1E" w:rsidR="00BC65B4">
        <w:rPr>
          <w:rFonts w:cs="Calibri" w:cstheme="minorAscii"/>
          <w:lang w:val="fr-FR"/>
        </w:rPr>
        <w:t xml:space="preserve"> qui sont différentes pour chaque dispositif</w:t>
      </w:r>
      <w:r w:rsidRPr="1BDE9D1E" w:rsidR="00BC65B4">
        <w:rPr>
          <w:rFonts w:cs="Calibri" w:cstheme="minorAscii"/>
          <w:lang w:val="fr-FR"/>
        </w:rPr>
        <w:t>.</w:t>
      </w:r>
    </w:p>
    <w:p w:rsidRPr="00BC65B4" w:rsidR="00BC65B4" w:rsidP="00BC65B4" w:rsidRDefault="00BC65B4" w14:paraId="26CB8E59" w14:textId="77777777">
      <w:pPr>
        <w:jc w:val="both"/>
        <w:rPr>
          <w:rFonts w:cstheme="minorHAnsi"/>
          <w:lang w:val="fr-FR"/>
        </w:rPr>
      </w:pPr>
      <w:r w:rsidRPr="00BC65B4">
        <w:rPr>
          <w:rFonts w:cstheme="minorHAnsi"/>
          <w:lang w:val="fr-FR"/>
        </w:rPr>
        <w:t>Le tableau ci-dessous renseigne le montant total des subsides perçus par les opérateurs agréés (tous types de dispositifs) par tranche de financement et illustre cette disparité :</w:t>
      </w:r>
    </w:p>
    <w:tbl>
      <w:tblPr>
        <w:tblW w:w="5000" w:type="pct"/>
        <w:tblCellMar>
          <w:left w:w="70" w:type="dxa"/>
          <w:right w:w="70" w:type="dxa"/>
        </w:tblCellMar>
        <w:tblLook w:val="04A0" w:firstRow="1" w:lastRow="0" w:firstColumn="1" w:lastColumn="0" w:noHBand="0" w:noVBand="1"/>
      </w:tblPr>
      <w:tblGrid>
        <w:gridCol w:w="2446"/>
        <w:gridCol w:w="1955"/>
        <w:gridCol w:w="1447"/>
        <w:gridCol w:w="1565"/>
        <w:gridCol w:w="1649"/>
      </w:tblGrid>
      <w:tr w:rsidRPr="00BC65B4" w:rsidR="00BC65B4" w:rsidTr="00CE7B42" w14:paraId="32BAA4D4"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6A20A161"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Tranches de financement</w:t>
            </w:r>
          </w:p>
        </w:tc>
        <w:tc>
          <w:tcPr>
            <w:tcW w:w="863"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00DBF729"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opérateurs agréés</w:t>
            </w:r>
          </w:p>
        </w:tc>
        <w:tc>
          <w:tcPr>
            <w:tcW w:w="1065"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11A5891C"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 opérateurs </w:t>
            </w:r>
          </w:p>
        </w:tc>
        <w:tc>
          <w:tcPr>
            <w:tcW w:w="1016"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1689A6E8"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TOTAL subsides </w:t>
            </w:r>
          </w:p>
        </w:tc>
        <w:tc>
          <w:tcPr>
            <w:tcW w:w="1024"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39D4C5F2"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 Total subsides </w:t>
            </w:r>
          </w:p>
        </w:tc>
      </w:tr>
      <w:tr w:rsidRPr="00BC65B4" w:rsidR="00BC65B4" w:rsidTr="00CE7B42" w14:paraId="54459614"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D5214F5"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&gt;1M€</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0FAE0D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3901F7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0,5%</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B1350F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14.716.938</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F16444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32,2%</w:t>
            </w:r>
          </w:p>
        </w:tc>
      </w:tr>
      <w:tr w:rsidRPr="00BC65B4" w:rsidR="00BC65B4" w:rsidTr="00CE7B42" w14:paraId="33E5406A"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C9B7202"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&gt;500k€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2716A0D"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3FE5ED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0,3%</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0887FE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3.642.857</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FA04E3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8,0%</w:t>
            </w:r>
          </w:p>
        </w:tc>
      </w:tr>
      <w:tr w:rsidRPr="00BC65B4" w:rsidR="00BC65B4" w:rsidTr="00CE7B42" w14:paraId="23033E3F"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CE4F154"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&gt;250k€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60B270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21</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4E495E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1,5%</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057837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7.475.817</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85BC0E0"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16,3%</w:t>
            </w:r>
          </w:p>
        </w:tc>
      </w:tr>
      <w:tr w:rsidRPr="00BC65B4" w:rsidR="00BC65B4" w:rsidTr="00CE7B42" w14:paraId="106B77B9"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E77CDCE"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&gt;100k€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51F264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47</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70C9F2D"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3,3%</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A43675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7.518.362</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6DFBD3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16,4%</w:t>
            </w:r>
          </w:p>
        </w:tc>
      </w:tr>
      <w:tr w:rsidRPr="00BC65B4" w:rsidR="00BC65B4" w:rsidTr="00CE7B42" w14:paraId="0F271FAD"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5DCAE48"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&gt;50k€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E16AADD"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38</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6A5CEA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2,6%</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1F5CBE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2.590.410</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D9D85E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5,7%</w:t>
            </w:r>
          </w:p>
        </w:tc>
      </w:tr>
      <w:tr w:rsidRPr="00BC65B4" w:rsidR="00BC65B4" w:rsidTr="00CE7B42" w14:paraId="47D74690"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AF6F621"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&gt;20k€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F4D385E"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109</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07822A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7,5%</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BD706F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3.208.983</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333DDF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7,0%</w:t>
            </w:r>
          </w:p>
        </w:tc>
      </w:tr>
      <w:tr w:rsidRPr="00BC65B4" w:rsidR="00BC65B4" w:rsidTr="00CE7B42" w14:paraId="2CA2EE75"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8BAE97E"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&gt;10k€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59C3ED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248</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622D30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17,2%</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106C47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3.297.315</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BAB7B3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7,2%</w:t>
            </w:r>
          </w:p>
        </w:tc>
      </w:tr>
      <w:tr w:rsidRPr="00BC65B4" w:rsidR="00BC65B4" w:rsidTr="00CE7B42" w14:paraId="2A536DBC"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1A2D38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&gt;5k€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E9A81E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277</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876E8F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19,2%</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4D433C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1.990.885</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BD44B2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4,4%</w:t>
            </w:r>
          </w:p>
        </w:tc>
      </w:tr>
      <w:tr w:rsidRPr="00BC65B4" w:rsidR="00BC65B4" w:rsidTr="00CE7B42" w14:paraId="79DE22D4"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DA58DFA"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&gt;1k€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3449101"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495</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87B9D6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34,3%</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951F0D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1.165.669</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791A7C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2,5%</w:t>
            </w:r>
          </w:p>
        </w:tc>
      </w:tr>
      <w:tr w:rsidRPr="00BC65B4" w:rsidR="00BC65B4" w:rsidTr="00CE7B42" w14:paraId="7F6B3EC0" w14:textId="77777777">
        <w:trPr>
          <w:trHeight w:val="300"/>
        </w:trPr>
        <w:tc>
          <w:tcPr>
            <w:tcW w:w="103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9EB1F4B"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&lt;1k€</w:t>
            </w:r>
          </w:p>
        </w:tc>
        <w:tc>
          <w:tcPr>
            <w:tcW w:w="863"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C1C58E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198</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68AD1B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13,7%</w:t>
            </w:r>
          </w:p>
        </w:tc>
        <w:tc>
          <w:tcPr>
            <w:tcW w:w="101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69CE7E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127.047</w:t>
            </w:r>
          </w:p>
        </w:tc>
        <w:tc>
          <w:tcPr>
            <w:tcW w:w="102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C792AC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0,3%</w:t>
            </w:r>
          </w:p>
        </w:tc>
      </w:tr>
      <w:tr w:rsidRPr="00BC65B4" w:rsidR="00BC65B4" w:rsidTr="00CE7B42" w14:paraId="70A8AA09" w14:textId="77777777">
        <w:trPr>
          <w:trHeight w:val="300"/>
        </w:trPr>
        <w:tc>
          <w:tcPr>
            <w:tcW w:w="1032"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505354F1" w14:textId="77777777">
            <w:pPr>
              <w:spacing w:after="0" w:line="240" w:lineRule="auto"/>
              <w:rPr>
                <w:rFonts w:eastAsia="Times New Roman" w:cstheme="minorHAnsi"/>
                <w:b/>
                <w:bCs/>
                <w:lang w:val="fr-FR" w:eastAsia="fr-BE"/>
              </w:rPr>
            </w:pPr>
            <w:r w:rsidRPr="00BC65B4">
              <w:rPr>
                <w:rFonts w:eastAsia="Times New Roman" w:cstheme="minorHAnsi"/>
                <w:b/>
                <w:bCs/>
                <w:lang w:val="fr-FR" w:eastAsia="fr-BE"/>
              </w:rPr>
              <w:t>Total général</w:t>
            </w:r>
          </w:p>
        </w:tc>
        <w:tc>
          <w:tcPr>
            <w:tcW w:w="863"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27EE91DF"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1.445</w:t>
            </w:r>
          </w:p>
        </w:tc>
        <w:tc>
          <w:tcPr>
            <w:tcW w:w="1065"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065ED635"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100,0%</w:t>
            </w:r>
          </w:p>
        </w:tc>
        <w:tc>
          <w:tcPr>
            <w:tcW w:w="1016"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7F4C5996"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45.734.283</w:t>
            </w:r>
          </w:p>
        </w:tc>
        <w:tc>
          <w:tcPr>
            <w:tcW w:w="1024"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2F15C162"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100,0%</w:t>
            </w:r>
          </w:p>
        </w:tc>
      </w:tr>
    </w:tbl>
    <w:p w:rsidRPr="00BC65B4" w:rsidR="00BC65B4" w:rsidP="00BC65B4" w:rsidRDefault="00BC65B4" w14:paraId="11900885" w14:textId="77777777">
      <w:pPr>
        <w:spacing w:before="240" w:after="0"/>
        <w:jc w:val="both"/>
        <w:rPr>
          <w:rFonts w:cstheme="minorHAnsi"/>
          <w:lang w:val="fr-FR"/>
        </w:rPr>
      </w:pPr>
      <w:r w:rsidRPr="00BC65B4">
        <w:rPr>
          <w:rFonts w:cstheme="minorHAnsi"/>
          <w:lang w:val="fr-FR"/>
        </w:rPr>
        <w:t>Les constats relatifs à ce tableau sont les suivants :</w:t>
      </w:r>
    </w:p>
    <w:p w:rsidRPr="00BC65B4" w:rsidR="00BC65B4" w:rsidP="00BC65B4" w:rsidRDefault="00BC65B4" w14:paraId="5DA38359" w14:textId="77777777">
      <w:pPr>
        <w:pStyle w:val="ListParagraph"/>
        <w:numPr>
          <w:ilvl w:val="0"/>
          <w:numId w:val="8"/>
        </w:numPr>
        <w:spacing w:before="240"/>
        <w:jc w:val="both"/>
        <w:rPr>
          <w:rFonts w:cstheme="minorHAnsi"/>
          <w:lang w:val="fr-FR"/>
        </w:rPr>
      </w:pPr>
      <w:r w:rsidRPr="00BC65B4">
        <w:rPr>
          <w:rFonts w:cstheme="minorHAnsi"/>
          <w:lang w:val="fr-FR"/>
        </w:rPr>
        <w:t>Un peu plus de 5% des opérateurs cumulent 73% de l’ensemble des moyens du secteur (hors CATL et projets spécifiques). Il s’agit quasiment exclusivement des opérateurs agréés en AES2 et des plus gros opérateurs d’AES1 ;</w:t>
      </w:r>
    </w:p>
    <w:p w:rsidRPr="00BC65B4" w:rsidR="00BC65B4" w:rsidP="00BC65B4" w:rsidRDefault="00BC65B4" w14:paraId="64F2CD8A" w14:textId="77777777">
      <w:pPr>
        <w:pStyle w:val="ListParagraph"/>
        <w:numPr>
          <w:ilvl w:val="0"/>
          <w:numId w:val="8"/>
        </w:numPr>
        <w:spacing w:before="240"/>
        <w:jc w:val="both"/>
        <w:rPr>
          <w:rFonts w:cstheme="minorHAnsi"/>
          <w:lang w:val="fr-FR"/>
        </w:rPr>
      </w:pPr>
      <w:r w:rsidRPr="00BC65B4">
        <w:rPr>
          <w:rFonts w:cstheme="minorHAnsi"/>
          <w:lang w:val="fr-FR"/>
        </w:rPr>
        <w:t>67%, soit près de 1000 opérateurs, reçoivent moins de 10k€/an. Il s’agit de petits opérateurs AES 1, des centres de vacances ou des écoles de devoirs ;</w:t>
      </w:r>
    </w:p>
    <w:p w:rsidRPr="00BC65B4" w:rsidR="00BC65B4" w:rsidP="00BC65B4" w:rsidRDefault="00BC65B4" w14:paraId="51C409AA" w14:textId="77777777">
      <w:pPr>
        <w:spacing w:before="240"/>
        <w:jc w:val="both"/>
        <w:rPr>
          <w:rFonts w:cstheme="minorHAnsi"/>
          <w:lang w:val="fr-FR"/>
        </w:rPr>
      </w:pPr>
      <w:r w:rsidRPr="00BC65B4">
        <w:rPr>
          <w:rFonts w:cstheme="minorHAnsi"/>
          <w:lang w:val="fr-FR"/>
        </w:rPr>
        <w:t>La situation spécifique de l’AES1 laisse apparaître une situation plus ou moins similaire même si les tendances sont moins accentuées :</w:t>
      </w:r>
    </w:p>
    <w:tbl>
      <w:tblPr>
        <w:tblW w:w="5000" w:type="pct"/>
        <w:tblCellMar>
          <w:left w:w="70" w:type="dxa"/>
          <w:right w:w="70" w:type="dxa"/>
        </w:tblCellMar>
        <w:tblLook w:val="04A0" w:firstRow="1" w:lastRow="0" w:firstColumn="1" w:lastColumn="0" w:noHBand="0" w:noVBand="1"/>
      </w:tblPr>
      <w:tblGrid>
        <w:gridCol w:w="3301"/>
        <w:gridCol w:w="1305"/>
        <w:gridCol w:w="1356"/>
        <w:gridCol w:w="1445"/>
        <w:gridCol w:w="1655"/>
      </w:tblGrid>
      <w:tr w:rsidRPr="00BC65B4" w:rsidR="00BC65B4" w:rsidTr="00CE7B42" w14:paraId="1B85827B"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68B39320"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Tranches de financement</w:t>
            </w:r>
          </w:p>
        </w:tc>
        <w:tc>
          <w:tcPr>
            <w:tcW w:w="744"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4C2020B2"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 opérateurs </w:t>
            </w:r>
          </w:p>
        </w:tc>
        <w:tc>
          <w:tcPr>
            <w:tcW w:w="744"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07931FFD"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 opérateurs </w:t>
            </w:r>
          </w:p>
        </w:tc>
        <w:tc>
          <w:tcPr>
            <w:tcW w:w="744"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323EDFCA"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Subsides AES1</w:t>
            </w:r>
          </w:p>
        </w:tc>
        <w:tc>
          <w:tcPr>
            <w:tcW w:w="790"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311C08AC"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 Subsides AES1 </w:t>
            </w:r>
          </w:p>
        </w:tc>
      </w:tr>
      <w:tr w:rsidRPr="00BC65B4" w:rsidR="00BC65B4" w:rsidTr="00CE7B42" w14:paraId="54B98C81"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BEB73E9"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&gt;100k€</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2CA999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1724D7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1,9%</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913408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1.956.393</w:t>
            </w:r>
          </w:p>
        </w:tc>
        <w:tc>
          <w:tcPr>
            <w:tcW w:w="790"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2A0250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24,5%</w:t>
            </w:r>
          </w:p>
        </w:tc>
      </w:tr>
      <w:tr w:rsidRPr="00BC65B4" w:rsidR="00BC65B4" w:rsidTr="00CE7B42" w14:paraId="5D7CF4CF"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D502095"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&gt;50k€</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5FEDE4E"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14</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DA318A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2,6%</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4F568A1"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883.773</w:t>
            </w:r>
          </w:p>
        </w:tc>
        <w:tc>
          <w:tcPr>
            <w:tcW w:w="790"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5BBB78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11,1%</w:t>
            </w:r>
          </w:p>
        </w:tc>
      </w:tr>
      <w:tr w:rsidRPr="00BC65B4" w:rsidR="00BC65B4" w:rsidTr="00CE7B42" w14:paraId="787DC55E"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DC89493"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&gt;25k€</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2F88A0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42</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3D49C2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7,8%</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E76EA3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1.349.624</w:t>
            </w:r>
          </w:p>
        </w:tc>
        <w:tc>
          <w:tcPr>
            <w:tcW w:w="790"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3052C3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16,9%</w:t>
            </w:r>
          </w:p>
        </w:tc>
      </w:tr>
      <w:tr w:rsidRPr="00BC65B4" w:rsidR="00BC65B4" w:rsidTr="00CE7B42" w14:paraId="155BFC52"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C09985F"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&gt;10k€</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7272A3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163</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48C22B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30,2%</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F1C243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2.368.627</w:t>
            </w:r>
          </w:p>
        </w:tc>
        <w:tc>
          <w:tcPr>
            <w:tcW w:w="790"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5A711A0"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29,7%</w:t>
            </w:r>
          </w:p>
        </w:tc>
      </w:tr>
      <w:tr w:rsidRPr="00BC65B4" w:rsidR="00BC65B4" w:rsidTr="00CE7B42" w14:paraId="07E446CB"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4EB9D6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&gt;5k€</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E03049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126</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4D3CBD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23,4%</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C40507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940.245</w:t>
            </w:r>
          </w:p>
        </w:tc>
        <w:tc>
          <w:tcPr>
            <w:tcW w:w="790"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A5C097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11,8%</w:t>
            </w:r>
          </w:p>
        </w:tc>
      </w:tr>
      <w:tr w:rsidRPr="00BC65B4" w:rsidR="00BC65B4" w:rsidTr="00CE7B42" w14:paraId="163B2887"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B7C996F"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&gt;1k€</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617204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152</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03EEFCE"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28,2%</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98296C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461.176</w:t>
            </w:r>
          </w:p>
        </w:tc>
        <w:tc>
          <w:tcPr>
            <w:tcW w:w="790"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1DEAA61"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5,8%</w:t>
            </w:r>
          </w:p>
        </w:tc>
      </w:tr>
      <w:tr w:rsidRPr="00BC65B4" w:rsidR="00BC65B4" w:rsidTr="00CE7B42" w14:paraId="3A24BE82" w14:textId="77777777">
        <w:trPr>
          <w:trHeight w:val="300"/>
        </w:trPr>
        <w:tc>
          <w:tcPr>
            <w:tcW w:w="197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68E7BFC"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&lt;1k€</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337748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32</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17EFE6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5,9%</w:t>
            </w:r>
          </w:p>
        </w:tc>
        <w:tc>
          <w:tcPr>
            <w:tcW w:w="7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FF232D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13.719</w:t>
            </w:r>
          </w:p>
        </w:tc>
        <w:tc>
          <w:tcPr>
            <w:tcW w:w="790"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996681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0,2%</w:t>
            </w:r>
          </w:p>
        </w:tc>
      </w:tr>
      <w:tr w:rsidRPr="00BC65B4" w:rsidR="00BC65B4" w:rsidTr="00CE7B42" w14:paraId="52F9C035" w14:textId="77777777">
        <w:trPr>
          <w:trHeight w:val="300"/>
        </w:trPr>
        <w:tc>
          <w:tcPr>
            <w:tcW w:w="1976"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2EAD4DE1" w14:textId="77777777">
            <w:pPr>
              <w:spacing w:after="0" w:line="240" w:lineRule="auto"/>
              <w:rPr>
                <w:rFonts w:eastAsia="Times New Roman" w:cstheme="minorHAnsi"/>
                <w:b/>
                <w:bCs/>
                <w:lang w:val="fr-FR" w:eastAsia="fr-BE"/>
              </w:rPr>
            </w:pPr>
            <w:r w:rsidRPr="00BC65B4">
              <w:rPr>
                <w:rFonts w:eastAsia="Times New Roman" w:cstheme="minorHAnsi"/>
                <w:b/>
                <w:bCs/>
                <w:lang w:val="fr-FR" w:eastAsia="fr-BE"/>
              </w:rPr>
              <w:t>Total général</w:t>
            </w:r>
          </w:p>
        </w:tc>
        <w:tc>
          <w:tcPr>
            <w:tcW w:w="744"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4991839C"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539</w:t>
            </w:r>
          </w:p>
        </w:tc>
        <w:tc>
          <w:tcPr>
            <w:tcW w:w="744"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6E72CD76"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100,0%</w:t>
            </w:r>
          </w:p>
        </w:tc>
        <w:tc>
          <w:tcPr>
            <w:tcW w:w="744"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4541273F"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7.973.557</w:t>
            </w:r>
          </w:p>
        </w:tc>
        <w:tc>
          <w:tcPr>
            <w:tcW w:w="790"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6F8B6DA2"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100,0%</w:t>
            </w:r>
          </w:p>
        </w:tc>
      </w:tr>
    </w:tbl>
    <w:p w:rsidRPr="00BC65B4" w:rsidR="00BC65B4" w:rsidP="00BC65B4" w:rsidRDefault="00BC65B4" w14:paraId="524FA1B8" w14:textId="77777777">
      <w:pPr>
        <w:spacing w:before="240" w:after="0"/>
        <w:jc w:val="both"/>
        <w:rPr>
          <w:rFonts w:cstheme="minorHAnsi"/>
          <w:lang w:val="fr-FR"/>
        </w:rPr>
      </w:pPr>
      <w:r w:rsidRPr="00BC65B4">
        <w:rPr>
          <w:rFonts w:cstheme="minorHAnsi"/>
          <w:lang w:val="fr-FR"/>
        </w:rPr>
        <w:t>Les constats relatifs à ce tableau sont les suivants :</w:t>
      </w:r>
    </w:p>
    <w:p w:rsidRPr="00BC65B4" w:rsidR="00BC65B4" w:rsidP="00BC65B4" w:rsidRDefault="00BC65B4" w14:paraId="53FC0255" w14:textId="77777777">
      <w:pPr>
        <w:pStyle w:val="ListParagraph"/>
        <w:numPr>
          <w:ilvl w:val="0"/>
          <w:numId w:val="9"/>
        </w:numPr>
        <w:spacing w:before="240"/>
        <w:jc w:val="both"/>
        <w:rPr>
          <w:rFonts w:cstheme="minorHAnsi"/>
          <w:lang w:val="fr-FR"/>
        </w:rPr>
      </w:pPr>
      <w:r w:rsidRPr="00BC65B4">
        <w:rPr>
          <w:rFonts w:cstheme="minorHAnsi"/>
          <w:lang w:val="fr-FR"/>
        </w:rPr>
        <w:t>Les premiers 5%, soit 24 opérateurs, cumulent plus de 35% des montants ;</w:t>
      </w:r>
    </w:p>
    <w:p w:rsidRPr="00BC65B4" w:rsidR="00BC65B4" w:rsidP="00BC65B4" w:rsidRDefault="00BC65B4" w14:paraId="05F265B4" w14:textId="77777777">
      <w:pPr>
        <w:pStyle w:val="ListParagraph"/>
        <w:numPr>
          <w:ilvl w:val="0"/>
          <w:numId w:val="9"/>
        </w:numPr>
        <w:spacing w:before="240"/>
        <w:jc w:val="both"/>
        <w:rPr>
          <w:rFonts w:cstheme="minorHAnsi"/>
          <w:lang w:val="fr-FR"/>
        </w:rPr>
      </w:pPr>
      <w:r w:rsidRPr="00BC65B4">
        <w:rPr>
          <w:rFonts w:cstheme="minorHAnsi"/>
          <w:lang w:val="fr-FR"/>
        </w:rPr>
        <w:t>57% des opérateurs touchent un montant inférieur à 10k€/an ;</w:t>
      </w:r>
    </w:p>
    <w:p w:rsidRPr="00BC65B4" w:rsidR="00BC65B4" w:rsidP="1BDE9D1E" w:rsidRDefault="00BC65B4" w14:paraId="3F34504E" w14:textId="3E148027">
      <w:pPr>
        <w:spacing w:before="240" w:after="0"/>
        <w:jc w:val="both"/>
        <w:rPr>
          <w:rFonts w:cs="Calibri" w:cstheme="minorAscii"/>
          <w:lang w:val="fr-FR"/>
        </w:rPr>
      </w:pPr>
      <w:r w:rsidRPr="1BDE9D1E" w:rsidR="00BC65B4">
        <w:rPr>
          <w:rFonts w:cs="Calibri" w:cstheme="minorAscii"/>
          <w:lang w:val="fr-FR"/>
        </w:rPr>
        <w:t>Cette diversité du secteur s’articule avec une complexité des modalités de financement</w:t>
      </w:r>
      <w:r w:rsidRPr="1BDE9D1E" w:rsidR="00BC65B4">
        <w:rPr>
          <w:rFonts w:cs="Calibri" w:cstheme="minorAscii"/>
          <w:lang w:val="fr-FR"/>
        </w:rPr>
        <w:t>. L</w:t>
      </w:r>
      <w:r w:rsidRPr="1BDE9D1E" w:rsidR="00BC65B4">
        <w:rPr>
          <w:rFonts w:cs="Calibri" w:cstheme="minorAscii"/>
          <w:lang w:val="fr-FR"/>
        </w:rPr>
        <w:t xml:space="preserve">es modalités pour chaque dispositif </w:t>
      </w:r>
      <w:r w:rsidRPr="1BDE9D1E" w:rsidR="00BC65B4">
        <w:rPr>
          <w:rFonts w:cs="Calibri" w:cstheme="minorAscii"/>
          <w:lang w:val="fr-FR"/>
        </w:rPr>
        <w:t>peuvent se résumer comme suit :</w:t>
      </w:r>
    </w:p>
    <w:p w:rsidRPr="00BC65B4" w:rsidR="00BC65B4" w:rsidP="00BC65B4" w:rsidRDefault="00BC65B4" w14:paraId="54F996BA" w14:textId="77777777">
      <w:pPr>
        <w:pStyle w:val="ListParagraph"/>
        <w:numPr>
          <w:ilvl w:val="0"/>
          <w:numId w:val="10"/>
        </w:numPr>
        <w:spacing w:before="240"/>
        <w:jc w:val="both"/>
        <w:rPr>
          <w:rFonts w:cstheme="minorHAnsi"/>
          <w:lang w:val="fr-FR"/>
        </w:rPr>
      </w:pPr>
      <w:r w:rsidRPr="00BC65B4">
        <w:rPr>
          <w:rFonts w:cstheme="minorHAnsi"/>
          <w:b/>
          <w:lang w:val="fr-FR"/>
        </w:rPr>
        <w:t>AES2</w:t>
      </w:r>
      <w:r w:rsidRPr="00BC65B4">
        <w:rPr>
          <w:rFonts w:cstheme="minorHAnsi"/>
          <w:lang w:val="fr-FR"/>
        </w:rPr>
        <w:t xml:space="preserve"> : </w:t>
      </w:r>
    </w:p>
    <w:p w:rsidRPr="00BC65B4" w:rsidR="00BC65B4" w:rsidP="1BDE9D1E" w:rsidRDefault="00BC65B4" w14:paraId="061847F9" w14:textId="1647BA69">
      <w:pPr>
        <w:pStyle w:val="ListParagraph"/>
        <w:numPr>
          <w:ilvl w:val="1"/>
          <w:numId w:val="10"/>
        </w:numPr>
        <w:spacing w:before="240"/>
        <w:jc w:val="both"/>
        <w:rPr>
          <w:rFonts w:cs="Calibri" w:cstheme="minorAscii"/>
          <w:lang w:val="fr-FR"/>
        </w:rPr>
      </w:pPr>
      <w:r w:rsidRPr="1BDE9D1E" w:rsidR="00BC65B4">
        <w:rPr>
          <w:rFonts w:cs="Calibri" w:cstheme="minorAscii"/>
          <w:lang w:val="fr-FR"/>
        </w:rPr>
        <w:t xml:space="preserve">Différents forfaits pour financer de l’emploi et du fonctionnement basés sur une </w:t>
      </w:r>
      <w:r w:rsidRPr="1BDE9D1E" w:rsidR="00BC65B4">
        <w:rPr>
          <w:rFonts w:cs="Calibri" w:cstheme="minorAscii"/>
          <w:lang w:val="fr-FR"/>
        </w:rPr>
        <w:t>capacité subsidiable</w:t>
      </w:r>
      <w:r w:rsidRPr="1BDE9D1E" w:rsidR="000B7704">
        <w:rPr>
          <w:rFonts w:cs="Calibri" w:cstheme="minorAscii"/>
          <w:lang w:val="fr-FR"/>
        </w:rPr>
        <w:t xml:space="preserve"> </w:t>
      </w:r>
      <w:r w:rsidRPr="1BDE9D1E" w:rsidR="00BC65B4">
        <w:rPr>
          <w:rFonts w:cs="Calibri" w:cstheme="minorAscii"/>
          <w:lang w:val="fr-FR"/>
        </w:rPr>
        <w:t>calculée à un moment donné et fixée à durée indéterminée ;</w:t>
      </w:r>
    </w:p>
    <w:p w:rsidRPr="00BC65B4" w:rsidR="00BC65B4" w:rsidP="00BC65B4" w:rsidRDefault="00BC65B4" w14:paraId="6C8DCC3C" w14:textId="77777777">
      <w:pPr>
        <w:pStyle w:val="ListParagraph"/>
        <w:numPr>
          <w:ilvl w:val="1"/>
          <w:numId w:val="10"/>
        </w:numPr>
        <w:spacing w:before="240"/>
        <w:jc w:val="both"/>
        <w:rPr>
          <w:rFonts w:cstheme="minorHAnsi"/>
          <w:lang w:val="fr-FR"/>
        </w:rPr>
      </w:pPr>
      <w:r w:rsidRPr="00BC65B4">
        <w:rPr>
          <w:rFonts w:cstheme="minorHAnsi"/>
          <w:lang w:val="fr-FR"/>
        </w:rPr>
        <w:t>Capacité subsidiable majorée pour l’accueil flexible ;</w:t>
      </w:r>
    </w:p>
    <w:p w:rsidRPr="00BC65B4" w:rsidR="00BC65B4" w:rsidP="00BC65B4" w:rsidRDefault="00BC65B4" w14:paraId="16E0FD28" w14:textId="77777777">
      <w:pPr>
        <w:pStyle w:val="ListParagraph"/>
        <w:numPr>
          <w:ilvl w:val="0"/>
          <w:numId w:val="10"/>
        </w:numPr>
        <w:spacing w:before="240"/>
        <w:jc w:val="both"/>
        <w:rPr>
          <w:rFonts w:cstheme="minorHAnsi"/>
          <w:lang w:val="fr-FR"/>
        </w:rPr>
      </w:pPr>
      <w:r w:rsidRPr="00BC65B4">
        <w:rPr>
          <w:rFonts w:cstheme="minorHAnsi"/>
          <w:b/>
          <w:lang w:val="fr-FR"/>
        </w:rPr>
        <w:t>AES1</w:t>
      </w:r>
      <w:r w:rsidRPr="00BC65B4">
        <w:rPr>
          <w:rFonts w:cstheme="minorHAnsi"/>
          <w:lang w:val="fr-FR"/>
        </w:rPr>
        <w:t xml:space="preserve"> : </w:t>
      </w:r>
    </w:p>
    <w:p w:rsidRPr="00BC65B4" w:rsidR="00BC65B4" w:rsidP="1BDE9D1E" w:rsidRDefault="00BC65B4" w14:paraId="505C9576" w14:textId="0920E332">
      <w:pPr>
        <w:pStyle w:val="ListParagraph"/>
        <w:numPr>
          <w:ilvl w:val="1"/>
          <w:numId w:val="10"/>
        </w:numPr>
        <w:spacing w:before="240"/>
        <w:jc w:val="both"/>
        <w:rPr>
          <w:rFonts w:cs="Calibri" w:cstheme="minorAscii"/>
          <w:lang w:val="fr-FR"/>
        </w:rPr>
      </w:pPr>
      <w:r w:rsidRPr="1BDE9D1E" w:rsidR="00BC65B4">
        <w:rPr>
          <w:rFonts w:cs="Calibri" w:cstheme="minorAscii"/>
          <w:lang w:val="fr-FR"/>
        </w:rPr>
        <w:t xml:space="preserve">Coefficient multiplicateur des présences fixé à </w:t>
      </w:r>
      <w:r w:rsidRPr="1BDE9D1E" w:rsidR="00BC65B4">
        <w:rPr>
          <w:rFonts w:cs="Calibri" w:cstheme="minorAscii"/>
          <w:lang w:val="fr-FR"/>
        </w:rPr>
        <w:t>0,</w:t>
      </w:r>
      <w:r w:rsidRPr="1BDE9D1E" w:rsidR="25AD0469">
        <w:rPr>
          <w:rFonts w:cs="Calibri" w:cstheme="minorAscii"/>
          <w:lang w:val="fr-FR"/>
        </w:rPr>
        <w:t>4</w:t>
      </w:r>
      <w:r w:rsidRPr="1BDE9D1E" w:rsidR="00BC65B4">
        <w:rPr>
          <w:rFonts w:cs="Calibri" w:cstheme="minorAscii"/>
          <w:lang w:val="fr-FR"/>
        </w:rPr>
        <w:t xml:space="preserve">0€ </w:t>
      </w:r>
      <w:r w:rsidRPr="1BDE9D1E" w:rsidR="00BC65B4">
        <w:rPr>
          <w:rFonts w:cs="Calibri" w:cstheme="minorAscii"/>
          <w:lang w:val="fr-FR"/>
        </w:rPr>
        <w:t>par présence, mais augmenté à la clôture sur la base des présences réelles ;</w:t>
      </w:r>
    </w:p>
    <w:p w:rsidRPr="00BC65B4" w:rsidR="00BC65B4" w:rsidP="00BC65B4" w:rsidRDefault="00BC65B4" w14:paraId="0ADEB6F9" w14:textId="77777777">
      <w:pPr>
        <w:pStyle w:val="ListParagraph"/>
        <w:numPr>
          <w:ilvl w:val="1"/>
          <w:numId w:val="10"/>
        </w:numPr>
        <w:spacing w:before="240"/>
        <w:jc w:val="both"/>
        <w:rPr>
          <w:rFonts w:cstheme="minorHAnsi"/>
          <w:lang w:val="fr-FR"/>
        </w:rPr>
      </w:pPr>
      <w:r w:rsidRPr="00BC65B4">
        <w:rPr>
          <w:rFonts w:cstheme="minorHAnsi"/>
          <w:lang w:val="fr-FR"/>
        </w:rPr>
        <w:t>Coefficient doublé pour les publics faisant l’objet d’une « discrimination positive » pour une proportion ou la totalité des fréquentations. L’octroi du coefficient doublé se fait sur la base d’une déclaration sur l’honneur ;</w:t>
      </w:r>
    </w:p>
    <w:p w:rsidRPr="00BC65B4" w:rsidR="00BC65B4" w:rsidP="00BC65B4" w:rsidRDefault="00BC65B4" w14:paraId="1D1E1F8A" w14:textId="77777777">
      <w:pPr>
        <w:pStyle w:val="ListParagraph"/>
        <w:numPr>
          <w:ilvl w:val="0"/>
          <w:numId w:val="10"/>
        </w:numPr>
        <w:spacing w:before="240"/>
        <w:jc w:val="both"/>
        <w:rPr>
          <w:rFonts w:cstheme="minorHAnsi"/>
          <w:lang w:val="fr-FR"/>
        </w:rPr>
      </w:pPr>
      <w:r w:rsidRPr="00BC65B4">
        <w:rPr>
          <w:rFonts w:cstheme="minorHAnsi"/>
          <w:b/>
          <w:lang w:val="fr-FR"/>
        </w:rPr>
        <w:t>EDD</w:t>
      </w:r>
      <w:r w:rsidRPr="00BC65B4">
        <w:rPr>
          <w:rFonts w:cstheme="minorHAnsi"/>
          <w:lang w:val="fr-FR"/>
        </w:rPr>
        <w:t xml:space="preserve"> : </w:t>
      </w:r>
    </w:p>
    <w:p w:rsidRPr="00BC65B4" w:rsidR="00BC65B4" w:rsidP="00BC65B4" w:rsidRDefault="00BC65B4" w14:paraId="27ACA3A3" w14:textId="77777777">
      <w:pPr>
        <w:pStyle w:val="ListParagraph"/>
        <w:numPr>
          <w:ilvl w:val="1"/>
          <w:numId w:val="10"/>
        </w:numPr>
        <w:spacing w:before="240"/>
        <w:jc w:val="both"/>
        <w:rPr>
          <w:rFonts w:cstheme="minorHAnsi"/>
          <w:lang w:val="fr-FR"/>
        </w:rPr>
      </w:pPr>
      <w:r w:rsidRPr="00BC65B4">
        <w:rPr>
          <w:rFonts w:cstheme="minorHAnsi"/>
          <w:lang w:val="fr-FR"/>
        </w:rPr>
        <w:t>Partie forfaitaire adaptée au nombre d’EDD et partie variable sur la base des présences d’enfants et d’animateurs ;</w:t>
      </w:r>
    </w:p>
    <w:p w:rsidRPr="00BC65B4" w:rsidR="00BC65B4" w:rsidP="00BC65B4" w:rsidRDefault="00BC65B4" w14:paraId="250E6807" w14:textId="77777777">
      <w:pPr>
        <w:pStyle w:val="ListParagraph"/>
        <w:numPr>
          <w:ilvl w:val="1"/>
          <w:numId w:val="10"/>
        </w:numPr>
        <w:spacing w:before="240"/>
        <w:jc w:val="both"/>
        <w:rPr>
          <w:rFonts w:cstheme="minorHAnsi"/>
          <w:lang w:val="fr-FR"/>
        </w:rPr>
      </w:pPr>
      <w:r w:rsidRPr="00BC65B4">
        <w:rPr>
          <w:rFonts w:cstheme="minorHAnsi"/>
          <w:lang w:val="fr-FR"/>
        </w:rPr>
        <w:t>Forfait complémentaire dans le cadre de la réforme des rythmes scolaires ;</w:t>
      </w:r>
    </w:p>
    <w:p w:rsidRPr="00BC65B4" w:rsidR="00BC65B4" w:rsidP="00BC65B4" w:rsidRDefault="00BC65B4" w14:paraId="34B996C8" w14:textId="77777777">
      <w:pPr>
        <w:pStyle w:val="ListParagraph"/>
        <w:numPr>
          <w:ilvl w:val="1"/>
          <w:numId w:val="10"/>
        </w:numPr>
        <w:spacing w:before="240"/>
        <w:jc w:val="both"/>
        <w:rPr>
          <w:rFonts w:cstheme="minorHAnsi"/>
          <w:lang w:val="fr-FR"/>
        </w:rPr>
      </w:pPr>
      <w:r w:rsidRPr="00BC65B4">
        <w:rPr>
          <w:rFonts w:cstheme="minorHAnsi"/>
          <w:lang w:val="fr-FR"/>
        </w:rPr>
        <w:t>Subvention forfaitaire unique de lancement ;</w:t>
      </w:r>
    </w:p>
    <w:p w:rsidRPr="00BC65B4" w:rsidR="00BC65B4" w:rsidP="00BC65B4" w:rsidRDefault="00BC65B4" w14:paraId="4EDA4003" w14:textId="77777777">
      <w:pPr>
        <w:pStyle w:val="ListParagraph"/>
        <w:numPr>
          <w:ilvl w:val="0"/>
          <w:numId w:val="10"/>
        </w:numPr>
        <w:spacing w:before="240"/>
        <w:jc w:val="both"/>
        <w:rPr>
          <w:rFonts w:cstheme="minorHAnsi"/>
          <w:lang w:val="fr-FR"/>
        </w:rPr>
      </w:pPr>
      <w:r w:rsidRPr="00BC65B4">
        <w:rPr>
          <w:rFonts w:cstheme="minorHAnsi"/>
          <w:b/>
          <w:lang w:val="fr-FR"/>
        </w:rPr>
        <w:t>Centres de vacances</w:t>
      </w:r>
      <w:r w:rsidRPr="00BC65B4">
        <w:rPr>
          <w:rFonts w:cstheme="minorHAnsi"/>
          <w:lang w:val="fr-FR"/>
        </w:rPr>
        <w:t xml:space="preserve"> : </w:t>
      </w:r>
    </w:p>
    <w:p w:rsidRPr="00BC65B4" w:rsidR="00BC65B4" w:rsidP="00BC65B4" w:rsidRDefault="00BC65B4" w14:paraId="25D68643" w14:textId="77777777">
      <w:pPr>
        <w:pStyle w:val="ListParagraph"/>
        <w:numPr>
          <w:ilvl w:val="1"/>
          <w:numId w:val="10"/>
        </w:numPr>
        <w:spacing w:before="240"/>
        <w:jc w:val="both"/>
        <w:rPr>
          <w:rFonts w:cstheme="minorHAnsi"/>
          <w:lang w:val="fr-FR"/>
        </w:rPr>
      </w:pPr>
      <w:r w:rsidRPr="00BC65B4">
        <w:rPr>
          <w:rFonts w:cstheme="minorHAnsi"/>
          <w:lang w:val="fr-FR"/>
        </w:rPr>
        <w:t>Enveloppe fermée répartie entre les opérateurs sur la base de points attribués en fonction des présences d’enfants et du nombre d’animateurs et de coordinateurs qualifiés ;</w:t>
      </w:r>
    </w:p>
    <w:p w:rsidRPr="00BC65B4" w:rsidR="00BC65B4" w:rsidP="00BC65B4" w:rsidRDefault="00BC65B4" w14:paraId="31E983A5" w14:textId="77777777">
      <w:pPr>
        <w:pStyle w:val="ListParagraph"/>
        <w:numPr>
          <w:ilvl w:val="1"/>
          <w:numId w:val="10"/>
        </w:numPr>
        <w:spacing w:before="240"/>
        <w:jc w:val="both"/>
        <w:rPr>
          <w:rFonts w:cstheme="minorHAnsi"/>
          <w:lang w:val="fr-FR"/>
        </w:rPr>
      </w:pPr>
      <w:r w:rsidRPr="00BC65B4">
        <w:rPr>
          <w:rFonts w:cstheme="minorHAnsi"/>
          <w:lang w:val="fr-FR"/>
        </w:rPr>
        <w:t>Appel à projets « Jump » permettant de bénéficier d’un montant complémentaire ;</w:t>
      </w:r>
    </w:p>
    <w:p w:rsidR="00BC65B4" w:rsidP="00BC65B4" w:rsidRDefault="00BC65B4" w14:paraId="1418A3E9" w14:textId="2F6C0CE5">
      <w:pPr>
        <w:spacing w:after="0"/>
        <w:jc w:val="both"/>
        <w:rPr>
          <w:lang w:val="fr-FR"/>
        </w:rPr>
      </w:pPr>
      <w:r>
        <w:rPr>
          <w:lang w:val="fr-FR"/>
        </w:rPr>
        <w:t>On constate, en résumé :</w:t>
      </w:r>
    </w:p>
    <w:p w:rsidR="00BC65B4" w:rsidP="00BC65B4" w:rsidRDefault="00BC65B4" w14:paraId="1054E947" w14:textId="77777777">
      <w:pPr>
        <w:pStyle w:val="ListParagraph"/>
        <w:numPr>
          <w:ilvl w:val="0"/>
          <w:numId w:val="16"/>
        </w:numPr>
        <w:jc w:val="both"/>
        <w:rPr>
          <w:lang w:val="fr-FR"/>
        </w:rPr>
      </w:pPr>
      <w:r>
        <w:rPr>
          <w:lang w:val="fr-FR"/>
        </w:rPr>
        <w:t>Une logique d’enveloppes fermées avec une partie fixe et une partie variable pour l’AES1, les EDD et les CDV. Ce mécanisme signifie qu’une partie de l’enveloppe est forfaitaire et le solde est distribué sur la base des fréquentations ou du nombre d’opérateurs. Cela rend, d’une part, les financements instables et la planification budgétaire compliquée pour les opérateurs et d’autre part, cela génère une charge administrative importante au niveau de l’ONE qui doit procéder en deux temps et recalculer toutes les subventions sur la base des fréquentations ;</w:t>
      </w:r>
    </w:p>
    <w:p w:rsidR="00BC65B4" w:rsidP="00BC65B4" w:rsidRDefault="00BC65B4" w14:paraId="24861526" w14:textId="77777777">
      <w:pPr>
        <w:pStyle w:val="ListParagraph"/>
        <w:numPr>
          <w:ilvl w:val="0"/>
          <w:numId w:val="16"/>
        </w:numPr>
        <w:jc w:val="both"/>
        <w:rPr>
          <w:lang w:val="fr-FR"/>
        </w:rPr>
      </w:pPr>
      <w:r>
        <w:rPr>
          <w:lang w:val="fr-FR"/>
        </w:rPr>
        <w:t>Une logique de capacité subsidiable calculée à un moment donné et fixée à durée indéterminée pour l’AES2. Ce mécanisme garantit le maintien des financements pour chaque opérateur AES2 ;</w:t>
      </w:r>
    </w:p>
    <w:p w:rsidR="00BC65B4" w:rsidP="00BC65B4" w:rsidRDefault="00BC65B4" w14:paraId="46E609CD" w14:textId="77777777">
      <w:pPr>
        <w:pStyle w:val="ListParagraph"/>
        <w:numPr>
          <w:ilvl w:val="0"/>
          <w:numId w:val="16"/>
        </w:numPr>
        <w:jc w:val="both"/>
        <w:rPr>
          <w:lang w:val="fr-FR"/>
        </w:rPr>
      </w:pPr>
      <w:r>
        <w:rPr>
          <w:lang w:val="fr-FR"/>
        </w:rPr>
        <w:t xml:space="preserve">Un nombre significatif d’opérateurs possédant un multi-agrément dont principalement la </w:t>
      </w:r>
      <w:r w:rsidRPr="00493C2A">
        <w:rPr>
          <w:lang w:val="fr-FR"/>
        </w:rPr>
        <w:t>combinaison entre l’AES1 et les CDV</w:t>
      </w:r>
      <w:r>
        <w:rPr>
          <w:lang w:val="fr-FR"/>
        </w:rPr>
        <w:t> ;</w:t>
      </w:r>
    </w:p>
    <w:p w:rsidRPr="00BC65B4" w:rsidR="00BC65B4" w:rsidP="00BC65B4" w:rsidRDefault="00BC65B4" w14:paraId="0D97D024" w14:textId="06DE7BC1">
      <w:pPr>
        <w:pStyle w:val="ListParagraph"/>
        <w:numPr>
          <w:ilvl w:val="0"/>
          <w:numId w:val="16"/>
        </w:numPr>
        <w:jc w:val="both"/>
        <w:rPr>
          <w:lang w:val="fr-FR"/>
        </w:rPr>
      </w:pPr>
      <w:r>
        <w:rPr>
          <w:lang w:val="fr-FR"/>
        </w:rPr>
        <w:t>Une variété importante de facteurs influençant le financement tels que la taille de l’opérateur, la diversité des dispositifs, les liens avec l’école, les périodes d’activité, etc.</w:t>
      </w:r>
    </w:p>
    <w:p w:rsidRPr="00BC65B4" w:rsidR="00BC65B4" w:rsidP="00BC65B4" w:rsidRDefault="00BC65B4" w14:paraId="5C1A0A33" w14:textId="271C8E9C">
      <w:pPr>
        <w:spacing w:before="240"/>
        <w:jc w:val="both"/>
        <w:rPr>
          <w:rFonts w:cstheme="minorHAnsi"/>
          <w:i/>
          <w:u w:val="single"/>
          <w:lang w:val="fr-FR"/>
        </w:rPr>
      </w:pPr>
      <w:r w:rsidRPr="00BC65B4">
        <w:rPr>
          <w:rFonts w:cstheme="minorHAnsi"/>
          <w:i/>
          <w:u w:val="single"/>
          <w:lang w:val="fr-FR"/>
        </w:rPr>
        <w:t>La plateforme et les coordinations ATL</w:t>
      </w:r>
    </w:p>
    <w:p w:rsidRPr="00BC65B4" w:rsidR="00BC65B4" w:rsidP="00BC65B4" w:rsidRDefault="00BC65B4" w14:paraId="6E063F29" w14:textId="77777777">
      <w:pPr>
        <w:spacing w:before="240"/>
        <w:jc w:val="both"/>
        <w:rPr>
          <w:rFonts w:cstheme="minorHAnsi"/>
          <w:lang w:val="fr-FR"/>
        </w:rPr>
      </w:pPr>
      <w:r w:rsidRPr="00BC65B4">
        <w:rPr>
          <w:rFonts w:cstheme="minorHAnsi"/>
          <w:lang w:val="fr-FR"/>
        </w:rPr>
        <w:t>En complément des dispositifs d’accueil, l’ONE finance également des coordinations ATL dans la grande majorité des communes de la FWB et une plateforme d’échange pour ces coordinations. Les coordinations ATL sont chargées de la coordination de l’ATL au sein de la commune et sont subsidiées en fonction du nombre d’enfants de 3 à 12 ans domiciliés dans la commune. Le financement est prévu par demi-ETP selon les tranches suivantes :</w:t>
      </w:r>
    </w:p>
    <w:tbl>
      <w:tblPr>
        <w:tblW w:w="4800" w:type="dxa"/>
        <w:jc w:val="center"/>
        <w:tblCellMar>
          <w:left w:w="70" w:type="dxa"/>
          <w:right w:w="70" w:type="dxa"/>
        </w:tblCellMar>
        <w:tblLook w:val="04A0" w:firstRow="1" w:lastRow="0" w:firstColumn="1" w:lastColumn="0" w:noHBand="0" w:noVBand="1"/>
      </w:tblPr>
      <w:tblGrid>
        <w:gridCol w:w="1540"/>
        <w:gridCol w:w="1360"/>
        <w:gridCol w:w="1900"/>
      </w:tblGrid>
      <w:tr w:rsidRPr="00BC65B4" w:rsidR="00BC65B4" w:rsidTr="00CE7B42" w14:paraId="079AC775" w14:textId="77777777">
        <w:trPr>
          <w:trHeight w:val="300"/>
          <w:jc w:val="center"/>
        </w:trPr>
        <w:tc>
          <w:tcPr>
            <w:tcW w:w="1540" w:type="dxa"/>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00B1F2AC"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enfants</w:t>
            </w:r>
          </w:p>
        </w:tc>
        <w:tc>
          <w:tcPr>
            <w:tcW w:w="1360" w:type="dxa"/>
            <w:tcBorders>
              <w:top w:val="single" w:color="auto" w:sz="4" w:space="0"/>
              <w:left w:val="nil"/>
              <w:bottom w:val="single" w:color="auto" w:sz="4" w:space="0"/>
              <w:right w:val="single" w:color="auto" w:sz="4" w:space="0"/>
            </w:tcBorders>
            <w:shd w:val="clear" w:color="000000" w:fill="FFC000"/>
            <w:noWrap/>
            <w:vAlign w:val="bottom"/>
            <w:hideMark/>
          </w:tcPr>
          <w:p w:rsidRPr="00BC65B4" w:rsidR="00BC65B4" w:rsidP="00CE7B42" w:rsidRDefault="00BC65B4" w14:paraId="45B75DD1"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ETP</w:t>
            </w:r>
          </w:p>
        </w:tc>
        <w:tc>
          <w:tcPr>
            <w:tcW w:w="1900" w:type="dxa"/>
            <w:tcBorders>
              <w:top w:val="single" w:color="auto" w:sz="4" w:space="0"/>
              <w:left w:val="nil"/>
              <w:bottom w:val="single" w:color="auto" w:sz="4" w:space="0"/>
              <w:right w:val="single" w:color="auto" w:sz="4" w:space="0"/>
            </w:tcBorders>
            <w:shd w:val="clear" w:color="000000" w:fill="FFC000"/>
            <w:noWrap/>
            <w:vAlign w:val="bottom"/>
            <w:hideMark/>
          </w:tcPr>
          <w:p w:rsidRPr="00BC65B4" w:rsidR="00BC65B4" w:rsidP="00CE7B42" w:rsidRDefault="00BC65B4" w14:paraId="2696F0A6"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Montant</w:t>
            </w:r>
          </w:p>
        </w:tc>
      </w:tr>
      <w:tr w:rsidRPr="00BC65B4" w:rsidR="00BC65B4" w:rsidTr="00CE7B42" w14:paraId="7C3CD60E" w14:textId="77777777">
        <w:trPr>
          <w:trHeight w:val="300"/>
          <w:jc w:val="center"/>
        </w:trPr>
        <w:tc>
          <w:tcPr>
            <w:tcW w:w="1540" w:type="dxa"/>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57E27AF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0-4000</w:t>
            </w:r>
          </w:p>
        </w:tc>
        <w:tc>
          <w:tcPr>
            <w:tcW w:w="136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695318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0,5</w:t>
            </w:r>
          </w:p>
        </w:tc>
        <w:tc>
          <w:tcPr>
            <w:tcW w:w="190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49AA871"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25.808</w:t>
            </w:r>
          </w:p>
        </w:tc>
      </w:tr>
      <w:tr w:rsidRPr="00BC65B4" w:rsidR="00BC65B4" w:rsidTr="00CE7B42" w14:paraId="2C270B31" w14:textId="77777777">
        <w:trPr>
          <w:trHeight w:val="300"/>
          <w:jc w:val="center"/>
        </w:trPr>
        <w:tc>
          <w:tcPr>
            <w:tcW w:w="1540" w:type="dxa"/>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44ECE394"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4000-6000</w:t>
            </w:r>
          </w:p>
        </w:tc>
        <w:tc>
          <w:tcPr>
            <w:tcW w:w="136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EE36E6B"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1</w:t>
            </w:r>
          </w:p>
        </w:tc>
        <w:tc>
          <w:tcPr>
            <w:tcW w:w="190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060FEDE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51.616</w:t>
            </w:r>
          </w:p>
        </w:tc>
      </w:tr>
      <w:tr w:rsidRPr="00BC65B4" w:rsidR="00BC65B4" w:rsidTr="00CE7B42" w14:paraId="27F013E4" w14:textId="77777777">
        <w:trPr>
          <w:trHeight w:val="300"/>
          <w:jc w:val="center"/>
        </w:trPr>
        <w:tc>
          <w:tcPr>
            <w:tcW w:w="1540" w:type="dxa"/>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70E520D4"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6000-8000</w:t>
            </w:r>
          </w:p>
        </w:tc>
        <w:tc>
          <w:tcPr>
            <w:tcW w:w="136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2129508A"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1,5</w:t>
            </w:r>
          </w:p>
        </w:tc>
        <w:tc>
          <w:tcPr>
            <w:tcW w:w="190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49038AC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77.424</w:t>
            </w:r>
          </w:p>
        </w:tc>
      </w:tr>
      <w:tr w:rsidRPr="00BC65B4" w:rsidR="00BC65B4" w:rsidTr="00CE7B42" w14:paraId="573A82FD" w14:textId="77777777">
        <w:trPr>
          <w:trHeight w:val="300"/>
          <w:jc w:val="center"/>
        </w:trPr>
        <w:tc>
          <w:tcPr>
            <w:tcW w:w="1540" w:type="dxa"/>
            <w:tcBorders>
              <w:top w:val="nil"/>
              <w:left w:val="single" w:color="auto" w:sz="4" w:space="0"/>
              <w:bottom w:val="single" w:color="auto" w:sz="4" w:space="0"/>
              <w:right w:val="single" w:color="auto" w:sz="4" w:space="0"/>
            </w:tcBorders>
            <w:shd w:val="clear" w:color="auto" w:fill="auto"/>
            <w:noWrap/>
            <w:vAlign w:val="bottom"/>
            <w:hideMark/>
          </w:tcPr>
          <w:p w:rsidRPr="00BC65B4" w:rsidR="00BC65B4" w:rsidP="00CE7B42" w:rsidRDefault="00BC65B4" w14:paraId="4037E79F"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&gt;8000</w:t>
            </w:r>
          </w:p>
        </w:tc>
        <w:tc>
          <w:tcPr>
            <w:tcW w:w="136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3BBD97C7"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2</w:t>
            </w:r>
          </w:p>
        </w:tc>
        <w:tc>
          <w:tcPr>
            <w:tcW w:w="1900" w:type="dxa"/>
            <w:tcBorders>
              <w:top w:val="nil"/>
              <w:left w:val="nil"/>
              <w:bottom w:val="single" w:color="auto" w:sz="4" w:space="0"/>
              <w:right w:val="single" w:color="auto" w:sz="4" w:space="0"/>
            </w:tcBorders>
            <w:shd w:val="clear" w:color="auto" w:fill="auto"/>
            <w:noWrap/>
            <w:vAlign w:val="bottom"/>
            <w:hideMark/>
          </w:tcPr>
          <w:p w:rsidRPr="00BC65B4" w:rsidR="00BC65B4" w:rsidP="00CE7B42" w:rsidRDefault="00BC65B4" w14:paraId="73747F0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103.232</w:t>
            </w:r>
          </w:p>
        </w:tc>
      </w:tr>
    </w:tbl>
    <w:p w:rsidRPr="00BC65B4" w:rsidR="00BC65B4" w:rsidP="00BC65B4" w:rsidRDefault="00BC65B4" w14:paraId="7AC01460" w14:textId="77777777">
      <w:pPr>
        <w:spacing w:before="240"/>
        <w:jc w:val="both"/>
        <w:rPr>
          <w:rFonts w:cstheme="minorHAnsi"/>
          <w:lang w:val="fr-FR"/>
        </w:rPr>
      </w:pPr>
      <w:r w:rsidRPr="00BC65B4">
        <w:rPr>
          <w:rFonts w:cstheme="minorHAnsi"/>
          <w:lang w:val="fr-FR"/>
        </w:rPr>
        <w:t xml:space="preserve">La répartition des ETP par provinces est la suivante : </w:t>
      </w:r>
    </w:p>
    <w:tbl>
      <w:tblPr>
        <w:tblW w:w="5000" w:type="pct"/>
        <w:tblCellMar>
          <w:left w:w="70" w:type="dxa"/>
          <w:right w:w="70" w:type="dxa"/>
        </w:tblCellMar>
        <w:tblLook w:val="04A0" w:firstRow="1" w:lastRow="0" w:firstColumn="1" w:lastColumn="0" w:noHBand="0" w:noVBand="1"/>
      </w:tblPr>
      <w:tblGrid>
        <w:gridCol w:w="1749"/>
        <w:gridCol w:w="1676"/>
        <w:gridCol w:w="1680"/>
        <w:gridCol w:w="1642"/>
        <w:gridCol w:w="1135"/>
        <w:gridCol w:w="1180"/>
      </w:tblGrid>
      <w:tr w:rsidRPr="00BC65B4" w:rsidR="00BC65B4" w:rsidTr="00CE7B42" w14:paraId="577C3CEF"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35DA995E"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Province</w:t>
            </w:r>
          </w:p>
        </w:tc>
        <w:tc>
          <w:tcPr>
            <w:tcW w:w="1034"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1E3A739B"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Commune</w:t>
            </w:r>
          </w:p>
        </w:tc>
        <w:tc>
          <w:tcPr>
            <w:tcW w:w="1015"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4371CD96"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 établissements </w:t>
            </w:r>
          </w:p>
        </w:tc>
        <w:tc>
          <w:tcPr>
            <w:tcW w:w="769"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7FE8C9E2"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Enfants 3-12 ans </w:t>
            </w:r>
          </w:p>
        </w:tc>
        <w:tc>
          <w:tcPr>
            <w:tcW w:w="569"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2095CD81"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ETP CATL</w:t>
            </w:r>
          </w:p>
        </w:tc>
        <w:tc>
          <w:tcPr>
            <w:tcW w:w="569"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2DF97EA5"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Subvention </w:t>
            </w:r>
          </w:p>
        </w:tc>
      </w:tr>
      <w:tr w:rsidRPr="00BC65B4" w:rsidR="00BC65B4" w:rsidTr="00CE7B42" w14:paraId="70481349"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43A711E"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Liège</w:t>
            </w:r>
          </w:p>
        </w:tc>
        <w:tc>
          <w:tcPr>
            <w:tcW w:w="103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1127300"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64</w:t>
            </w:r>
          </w:p>
        </w:tc>
        <w:tc>
          <w:tcPr>
            <w:tcW w:w="101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BD29E7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677</w:t>
            </w:r>
          </w:p>
        </w:tc>
        <w:tc>
          <w:tcPr>
            <w:tcW w:w="7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A152DEA"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106.079</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98F542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36</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A9D516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1.814.071</w:t>
            </w:r>
          </w:p>
        </w:tc>
      </w:tr>
      <w:tr w:rsidRPr="00BC65B4" w:rsidR="00BC65B4" w:rsidTr="00CE7B42" w14:paraId="415D95FA"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818CCEF"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Hainaut</w:t>
            </w:r>
          </w:p>
        </w:tc>
        <w:tc>
          <w:tcPr>
            <w:tcW w:w="103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A7AB89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59</w:t>
            </w:r>
          </w:p>
        </w:tc>
        <w:tc>
          <w:tcPr>
            <w:tcW w:w="101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107D1B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975</w:t>
            </w:r>
          </w:p>
        </w:tc>
        <w:tc>
          <w:tcPr>
            <w:tcW w:w="7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40646E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144.407</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FDB06CD"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37</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0A0BC1D"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1.802.325</w:t>
            </w:r>
          </w:p>
        </w:tc>
      </w:tr>
      <w:tr w:rsidRPr="00BC65B4" w:rsidR="00BC65B4" w:rsidTr="00CE7B42" w14:paraId="7CE4F20E"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E4F71CF"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Luxembourg</w:t>
            </w:r>
          </w:p>
        </w:tc>
        <w:tc>
          <w:tcPr>
            <w:tcW w:w="103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8CDF1D0"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42</w:t>
            </w:r>
          </w:p>
        </w:tc>
        <w:tc>
          <w:tcPr>
            <w:tcW w:w="101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FC2635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333</w:t>
            </w:r>
          </w:p>
        </w:tc>
        <w:tc>
          <w:tcPr>
            <w:tcW w:w="7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F6A1C4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33.253</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4CCC76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21</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F0AD04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1.021.663</w:t>
            </w:r>
          </w:p>
        </w:tc>
      </w:tr>
      <w:tr w:rsidRPr="00BC65B4" w:rsidR="00BC65B4" w:rsidTr="00CE7B42" w14:paraId="2B0A6D4F"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627011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Bruxelles-Capitale</w:t>
            </w:r>
          </w:p>
        </w:tc>
        <w:tc>
          <w:tcPr>
            <w:tcW w:w="103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162A34E"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16</w:t>
            </w:r>
          </w:p>
        </w:tc>
        <w:tc>
          <w:tcPr>
            <w:tcW w:w="101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01FC53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385</w:t>
            </w:r>
          </w:p>
        </w:tc>
        <w:tc>
          <w:tcPr>
            <w:tcW w:w="7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DDDE60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142.639</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4CEC84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20</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BE71481"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1.014.033</w:t>
            </w:r>
          </w:p>
        </w:tc>
      </w:tr>
      <w:tr w:rsidRPr="00BC65B4" w:rsidR="00BC65B4" w:rsidTr="00CE7B42" w14:paraId="2CC87FB6"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A103E60"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Namur</w:t>
            </w:r>
          </w:p>
        </w:tc>
        <w:tc>
          <w:tcPr>
            <w:tcW w:w="103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C35B81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37</w:t>
            </w:r>
          </w:p>
        </w:tc>
        <w:tc>
          <w:tcPr>
            <w:tcW w:w="101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3E38A8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432</w:t>
            </w:r>
          </w:p>
        </w:tc>
        <w:tc>
          <w:tcPr>
            <w:tcW w:w="7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B45CD1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55.050</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FD9846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20</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6B870B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970.943</w:t>
            </w:r>
          </w:p>
        </w:tc>
      </w:tr>
      <w:tr w:rsidRPr="00BC65B4" w:rsidR="00BC65B4" w:rsidTr="00CE7B42" w14:paraId="2F8166DC"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2D82630"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Brabant Wallon</w:t>
            </w:r>
          </w:p>
        </w:tc>
        <w:tc>
          <w:tcPr>
            <w:tcW w:w="1034"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93DB45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25</w:t>
            </w:r>
          </w:p>
        </w:tc>
        <w:tc>
          <w:tcPr>
            <w:tcW w:w="1015"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F3C2A3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203</w:t>
            </w:r>
          </w:p>
        </w:tc>
        <w:tc>
          <w:tcPr>
            <w:tcW w:w="7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22CA48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43.558</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5B07E05"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13</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EDF81C0"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622.251</w:t>
            </w:r>
          </w:p>
        </w:tc>
      </w:tr>
      <w:tr w:rsidRPr="00BC65B4" w:rsidR="00BC65B4" w:rsidTr="00CE7B42" w14:paraId="160684FC" w14:textId="77777777">
        <w:trPr>
          <w:trHeight w:val="300"/>
        </w:trPr>
        <w:tc>
          <w:tcPr>
            <w:tcW w:w="1044"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1253E409" w14:textId="77777777">
            <w:pPr>
              <w:spacing w:after="0" w:line="240" w:lineRule="auto"/>
              <w:rPr>
                <w:rFonts w:eastAsia="Times New Roman" w:cstheme="minorHAnsi"/>
                <w:b/>
                <w:bCs/>
                <w:lang w:val="fr-FR" w:eastAsia="fr-BE"/>
              </w:rPr>
            </w:pPr>
            <w:r w:rsidRPr="00BC65B4">
              <w:rPr>
                <w:rFonts w:eastAsia="Times New Roman" w:cstheme="minorHAnsi"/>
                <w:b/>
                <w:bCs/>
                <w:lang w:val="fr-FR" w:eastAsia="fr-BE"/>
              </w:rPr>
              <w:t>Total général</w:t>
            </w:r>
          </w:p>
        </w:tc>
        <w:tc>
          <w:tcPr>
            <w:tcW w:w="1034"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375FE624"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243</w:t>
            </w:r>
          </w:p>
        </w:tc>
        <w:tc>
          <w:tcPr>
            <w:tcW w:w="1015"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750CC7BF"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3.005</w:t>
            </w:r>
          </w:p>
        </w:tc>
        <w:tc>
          <w:tcPr>
            <w:tcW w:w="769"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0657CDF8"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524.986</w:t>
            </w:r>
          </w:p>
        </w:tc>
        <w:tc>
          <w:tcPr>
            <w:tcW w:w="569"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71856601"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147</w:t>
            </w:r>
          </w:p>
        </w:tc>
        <w:tc>
          <w:tcPr>
            <w:tcW w:w="569"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25A71612"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7.245.287</w:t>
            </w:r>
          </w:p>
        </w:tc>
      </w:tr>
    </w:tbl>
    <w:p w:rsidRPr="00BC65B4" w:rsidR="00BC65B4" w:rsidP="00BC65B4" w:rsidRDefault="00BC65B4" w14:paraId="1328863A" w14:textId="77777777">
      <w:pPr>
        <w:spacing w:after="0"/>
        <w:jc w:val="both"/>
        <w:rPr>
          <w:rFonts w:cstheme="minorHAnsi"/>
          <w:lang w:val="fr-FR"/>
        </w:rPr>
      </w:pPr>
    </w:p>
    <w:p w:rsidRPr="00BC65B4" w:rsidR="00BC65B4" w:rsidP="00BC65B4" w:rsidRDefault="00BC65B4" w14:paraId="14B207E9" w14:textId="77777777">
      <w:pPr>
        <w:spacing w:after="0"/>
        <w:jc w:val="both"/>
        <w:rPr>
          <w:rFonts w:cstheme="minorHAnsi"/>
          <w:lang w:val="fr-FR"/>
        </w:rPr>
      </w:pPr>
      <w:r w:rsidRPr="00BC65B4">
        <w:rPr>
          <w:rFonts w:cstheme="minorHAnsi"/>
          <w:lang w:val="fr-FR"/>
        </w:rPr>
        <w:t>Le tableau ci-dessous illustre les ETP financés par commune :</w:t>
      </w:r>
    </w:p>
    <w:tbl>
      <w:tblPr>
        <w:tblW w:w="5000" w:type="pct"/>
        <w:tblCellMar>
          <w:left w:w="70" w:type="dxa"/>
          <w:right w:w="70" w:type="dxa"/>
        </w:tblCellMar>
        <w:tblLook w:val="04A0" w:firstRow="1" w:lastRow="0" w:firstColumn="1" w:lastColumn="0" w:noHBand="0" w:noVBand="1"/>
      </w:tblPr>
      <w:tblGrid>
        <w:gridCol w:w="2131"/>
        <w:gridCol w:w="2111"/>
        <w:gridCol w:w="2073"/>
        <w:gridCol w:w="1567"/>
        <w:gridCol w:w="1180"/>
      </w:tblGrid>
      <w:tr w:rsidRPr="00BC65B4" w:rsidR="00BC65B4" w:rsidTr="00CE7B42" w14:paraId="4D8201FC" w14:textId="77777777">
        <w:trPr>
          <w:trHeight w:val="300"/>
        </w:trPr>
        <w:tc>
          <w:tcPr>
            <w:tcW w:w="1178"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0CE628E6"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ETP</w:t>
            </w:r>
          </w:p>
        </w:tc>
        <w:tc>
          <w:tcPr>
            <w:tcW w:w="1167"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74BBBC52"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Commune</w:t>
            </w:r>
          </w:p>
        </w:tc>
        <w:tc>
          <w:tcPr>
            <w:tcW w:w="1146"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61347B8A"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Enfants 3-12 ans </w:t>
            </w:r>
          </w:p>
        </w:tc>
        <w:tc>
          <w:tcPr>
            <w:tcW w:w="867"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35745099"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 ETP </w:t>
            </w:r>
          </w:p>
        </w:tc>
        <w:tc>
          <w:tcPr>
            <w:tcW w:w="642" w:type="pct"/>
            <w:tcBorders>
              <w:top w:val="single" w:color="auto" w:sz="4" w:space="0"/>
              <w:left w:val="single" w:color="auto" w:sz="4" w:space="0"/>
              <w:bottom w:val="single" w:color="auto" w:sz="4" w:space="0"/>
              <w:right w:val="single" w:color="auto" w:sz="4" w:space="0"/>
            </w:tcBorders>
            <w:shd w:val="clear" w:color="000000" w:fill="FFC000"/>
            <w:noWrap/>
            <w:vAlign w:val="bottom"/>
            <w:hideMark/>
          </w:tcPr>
          <w:p w:rsidRPr="00BC65B4" w:rsidR="00BC65B4" w:rsidP="00CE7B42" w:rsidRDefault="00BC65B4" w14:paraId="4A44D3E6" w14:textId="77777777">
            <w:pPr>
              <w:spacing w:after="0" w:line="240" w:lineRule="auto"/>
              <w:rPr>
                <w:rFonts w:eastAsia="Times New Roman" w:cstheme="minorHAnsi"/>
                <w:b/>
                <w:bCs/>
                <w:color w:val="000000"/>
                <w:lang w:val="fr-FR" w:eastAsia="fr-BE"/>
              </w:rPr>
            </w:pPr>
            <w:r w:rsidRPr="00BC65B4">
              <w:rPr>
                <w:rFonts w:eastAsia="Times New Roman" w:cstheme="minorHAnsi"/>
                <w:b/>
                <w:bCs/>
                <w:color w:val="000000"/>
                <w:lang w:val="fr-FR" w:eastAsia="fr-BE"/>
              </w:rPr>
              <w:t xml:space="preserve">Subvention </w:t>
            </w:r>
          </w:p>
        </w:tc>
      </w:tr>
      <w:tr w:rsidRPr="00BC65B4" w:rsidR="00BC65B4" w:rsidTr="00CE7B42" w14:paraId="6A2F7957" w14:textId="77777777">
        <w:trPr>
          <w:trHeight w:val="300"/>
        </w:trPr>
        <w:tc>
          <w:tcPr>
            <w:tcW w:w="1178"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F92FBD0"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0,5</w:t>
            </w:r>
          </w:p>
        </w:tc>
        <w:tc>
          <w:tcPr>
            <w:tcW w:w="1167"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4D3172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221</w:t>
            </w:r>
          </w:p>
        </w:tc>
        <w:tc>
          <w:tcPr>
            <w:tcW w:w="114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12D1788"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281.716</w:t>
            </w:r>
          </w:p>
        </w:tc>
        <w:tc>
          <w:tcPr>
            <w:tcW w:w="867"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9EC6B6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111</w:t>
            </w:r>
          </w:p>
        </w:tc>
        <w:tc>
          <w:tcPr>
            <w:tcW w:w="64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DE08A8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5.482.115</w:t>
            </w:r>
          </w:p>
        </w:tc>
      </w:tr>
      <w:tr w:rsidRPr="00BC65B4" w:rsidR="00BC65B4" w:rsidTr="00CE7B42" w14:paraId="7AC9459D" w14:textId="77777777">
        <w:trPr>
          <w:trHeight w:val="300"/>
        </w:trPr>
        <w:tc>
          <w:tcPr>
            <w:tcW w:w="1178"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3A4EFB10"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1</w:t>
            </w:r>
          </w:p>
        </w:tc>
        <w:tc>
          <w:tcPr>
            <w:tcW w:w="1167"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3026357"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w:t>
            </w:r>
          </w:p>
        </w:tc>
        <w:tc>
          <w:tcPr>
            <w:tcW w:w="114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DA9C1D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24.847</w:t>
            </w:r>
          </w:p>
        </w:tc>
        <w:tc>
          <w:tcPr>
            <w:tcW w:w="867"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47F4382"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5</w:t>
            </w:r>
          </w:p>
        </w:tc>
        <w:tc>
          <w:tcPr>
            <w:tcW w:w="64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14DA53F"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258.080</w:t>
            </w:r>
          </w:p>
        </w:tc>
      </w:tr>
      <w:tr w:rsidRPr="00BC65B4" w:rsidR="00BC65B4" w:rsidTr="00CE7B42" w14:paraId="605611CC" w14:textId="77777777">
        <w:trPr>
          <w:trHeight w:val="300"/>
        </w:trPr>
        <w:tc>
          <w:tcPr>
            <w:tcW w:w="1178"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6808F2D"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1,5</w:t>
            </w:r>
          </w:p>
        </w:tc>
        <w:tc>
          <w:tcPr>
            <w:tcW w:w="1167"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5D015D7B"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6</w:t>
            </w:r>
          </w:p>
        </w:tc>
        <w:tc>
          <w:tcPr>
            <w:tcW w:w="114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186C1100"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43.086</w:t>
            </w:r>
          </w:p>
        </w:tc>
        <w:tc>
          <w:tcPr>
            <w:tcW w:w="867"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04D4F44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9</w:t>
            </w:r>
          </w:p>
        </w:tc>
        <w:tc>
          <w:tcPr>
            <w:tcW w:w="64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78AB57D9"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446.719</w:t>
            </w:r>
          </w:p>
        </w:tc>
      </w:tr>
      <w:tr w:rsidRPr="00BC65B4" w:rsidR="00BC65B4" w:rsidTr="00CE7B42" w14:paraId="4DF01EAF" w14:textId="77777777">
        <w:trPr>
          <w:trHeight w:val="300"/>
        </w:trPr>
        <w:tc>
          <w:tcPr>
            <w:tcW w:w="1178"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0F5A396" w14:textId="77777777">
            <w:pPr>
              <w:spacing w:after="0" w:line="240" w:lineRule="auto"/>
              <w:rPr>
                <w:rFonts w:eastAsia="Times New Roman" w:cstheme="minorHAnsi"/>
                <w:color w:val="000000"/>
                <w:lang w:val="fr-FR" w:eastAsia="fr-BE"/>
              </w:rPr>
            </w:pPr>
            <w:r w:rsidRPr="00BC65B4">
              <w:rPr>
                <w:rFonts w:eastAsia="Times New Roman" w:cstheme="minorHAnsi"/>
                <w:color w:val="000000"/>
                <w:lang w:val="fr-FR" w:eastAsia="fr-BE"/>
              </w:rPr>
              <w:t>2</w:t>
            </w:r>
          </w:p>
        </w:tc>
        <w:tc>
          <w:tcPr>
            <w:tcW w:w="1167"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A91A196"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11</w:t>
            </w:r>
          </w:p>
        </w:tc>
        <w:tc>
          <w:tcPr>
            <w:tcW w:w="1146"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4FF0C724"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175.337</w:t>
            </w:r>
          </w:p>
        </w:tc>
        <w:tc>
          <w:tcPr>
            <w:tcW w:w="867"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63148D23"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22</w:t>
            </w:r>
          </w:p>
        </w:tc>
        <w:tc>
          <w:tcPr>
            <w:tcW w:w="642"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C65B4" w:rsidR="00BC65B4" w:rsidP="00CE7B42" w:rsidRDefault="00BC65B4" w14:paraId="2677687C" w14:textId="77777777">
            <w:pPr>
              <w:spacing w:after="0" w:line="240" w:lineRule="auto"/>
              <w:jc w:val="right"/>
              <w:rPr>
                <w:rFonts w:eastAsia="Times New Roman" w:cstheme="minorHAnsi"/>
                <w:color w:val="000000"/>
                <w:lang w:val="fr-FR" w:eastAsia="fr-BE"/>
              </w:rPr>
            </w:pPr>
            <w:r w:rsidRPr="00BC65B4">
              <w:rPr>
                <w:rFonts w:eastAsia="Times New Roman" w:cstheme="minorHAnsi"/>
                <w:color w:val="000000"/>
                <w:lang w:val="fr-FR" w:eastAsia="fr-BE"/>
              </w:rPr>
              <w:t>1.058.373</w:t>
            </w:r>
          </w:p>
        </w:tc>
      </w:tr>
      <w:tr w:rsidRPr="00BC65B4" w:rsidR="00BC65B4" w:rsidTr="00CE7B42" w14:paraId="11A16287" w14:textId="77777777">
        <w:trPr>
          <w:trHeight w:val="300"/>
        </w:trPr>
        <w:tc>
          <w:tcPr>
            <w:tcW w:w="1178"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0FD5FDEA" w14:textId="77777777">
            <w:pPr>
              <w:spacing w:after="0" w:line="240" w:lineRule="auto"/>
              <w:rPr>
                <w:rFonts w:eastAsia="Times New Roman" w:cstheme="minorHAnsi"/>
                <w:b/>
                <w:bCs/>
                <w:lang w:val="fr-FR" w:eastAsia="fr-BE"/>
              </w:rPr>
            </w:pPr>
            <w:r w:rsidRPr="00BC65B4">
              <w:rPr>
                <w:rFonts w:eastAsia="Times New Roman" w:cstheme="minorHAnsi"/>
                <w:b/>
                <w:bCs/>
                <w:lang w:val="fr-FR" w:eastAsia="fr-BE"/>
              </w:rPr>
              <w:t>Total général</w:t>
            </w:r>
          </w:p>
        </w:tc>
        <w:tc>
          <w:tcPr>
            <w:tcW w:w="1167"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1F7AA16C"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243</w:t>
            </w:r>
          </w:p>
        </w:tc>
        <w:tc>
          <w:tcPr>
            <w:tcW w:w="1146"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3E8F748A"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524.986</w:t>
            </w:r>
          </w:p>
        </w:tc>
        <w:tc>
          <w:tcPr>
            <w:tcW w:w="867"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2076B6D7"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147</w:t>
            </w:r>
          </w:p>
        </w:tc>
        <w:tc>
          <w:tcPr>
            <w:tcW w:w="642" w:type="pct"/>
            <w:tcBorders>
              <w:top w:val="double" w:color="auto" w:sz="6" w:space="0"/>
              <w:left w:val="double" w:color="auto" w:sz="6" w:space="0"/>
              <w:bottom w:val="double" w:color="auto" w:sz="6" w:space="0"/>
              <w:right w:val="double" w:color="auto" w:sz="6" w:space="0"/>
            </w:tcBorders>
            <w:shd w:val="clear" w:color="000000" w:fill="D9D9D9"/>
            <w:noWrap/>
            <w:vAlign w:val="bottom"/>
            <w:hideMark/>
          </w:tcPr>
          <w:p w:rsidRPr="00BC65B4" w:rsidR="00BC65B4" w:rsidP="00CE7B42" w:rsidRDefault="00BC65B4" w14:paraId="05510E61" w14:textId="77777777">
            <w:pPr>
              <w:spacing w:after="0" w:line="240" w:lineRule="auto"/>
              <w:jc w:val="right"/>
              <w:rPr>
                <w:rFonts w:eastAsia="Times New Roman" w:cstheme="minorHAnsi"/>
                <w:b/>
                <w:bCs/>
                <w:lang w:val="fr-FR" w:eastAsia="fr-BE"/>
              </w:rPr>
            </w:pPr>
            <w:r w:rsidRPr="00BC65B4">
              <w:rPr>
                <w:rFonts w:eastAsia="Times New Roman" w:cstheme="minorHAnsi"/>
                <w:b/>
                <w:bCs/>
                <w:lang w:val="fr-FR" w:eastAsia="fr-BE"/>
              </w:rPr>
              <w:t>7.245.287</w:t>
            </w:r>
          </w:p>
        </w:tc>
      </w:tr>
    </w:tbl>
    <w:p w:rsidRPr="00BC65B4" w:rsidR="00BC65B4" w:rsidP="00BC65B4" w:rsidRDefault="00BC65B4" w14:paraId="774D8CDD" w14:textId="77777777">
      <w:pPr>
        <w:spacing w:before="240" w:after="0"/>
        <w:jc w:val="both"/>
        <w:rPr>
          <w:rFonts w:cstheme="minorHAnsi"/>
          <w:lang w:val="fr-FR"/>
        </w:rPr>
      </w:pPr>
      <w:r w:rsidRPr="00BC65B4">
        <w:rPr>
          <w:rFonts w:cstheme="minorHAnsi"/>
          <w:lang w:val="fr-FR"/>
        </w:rPr>
        <w:t>Ce dernier tableau laisse apparaître les problématiques suivantes :</w:t>
      </w:r>
    </w:p>
    <w:p w:rsidR="00BC65B4" w:rsidP="1BDE9D1E" w:rsidRDefault="00BC65B4" w14:paraId="7521E07C" w14:textId="77777777">
      <w:pPr>
        <w:pStyle w:val="ListParagraph"/>
        <w:numPr>
          <w:ilvl w:val="0"/>
          <w:numId w:val="11"/>
        </w:numPr>
        <w:spacing w:after="0"/>
        <w:jc w:val="both"/>
        <w:rPr>
          <w:rFonts w:cs="Calibri" w:cstheme="minorAscii"/>
          <w:lang w:val="fr-FR"/>
        </w:rPr>
      </w:pPr>
      <w:r w:rsidRPr="1BDE9D1E" w:rsidR="00BC65B4">
        <w:rPr>
          <w:rFonts w:cs="Calibri" w:cstheme="minorAscii"/>
          <w:lang w:val="fr-FR"/>
        </w:rPr>
        <w:t>La première tranche présente d’importantes inégalités en matière de financement par enfant. En effet, plus de la moitié des 221 communes qui disposent de 0,5 ETP ont moins de 1.000 enfants dans la commune et disposent des mêmes ressources que les communes de 4000 enfants pouvant combiner jusqu’à 27 établissements différents. Dans cette tranche, la moyenne du nombre d’enfants par commune s’élève à 1.275, soit bien inférieure au seuil des 4.000, mais bénéficiant tout de même chacune d’1/2 ETP ;</w:t>
      </w:r>
    </w:p>
    <w:p w:rsidRPr="00BC65B4" w:rsidR="00266F83" w:rsidP="1BDE9D1E" w:rsidRDefault="00353BA6" w14:paraId="7CFCDA09" w14:textId="77D9FA83">
      <w:pPr>
        <w:pStyle w:val="ListParagraph"/>
        <w:numPr>
          <w:ilvl w:val="0"/>
          <w:numId w:val="11"/>
        </w:numPr>
        <w:spacing w:after="0"/>
        <w:jc w:val="both"/>
        <w:rPr>
          <w:rFonts w:cs="Calibri" w:cstheme="minorAscii"/>
          <w:lang w:val="fr-FR"/>
        </w:rPr>
      </w:pPr>
      <w:r w:rsidRPr="1BDE9D1E" w:rsidR="00353BA6">
        <w:rPr>
          <w:rFonts w:cs="Calibri" w:cstheme="minorAscii"/>
          <w:lang w:val="fr-FR"/>
        </w:rPr>
        <w:t>Le mécanisme d’attribution des ETP basé sur le nombre d’enfants génère des effets de seuil</w:t>
      </w:r>
      <w:r w:rsidRPr="1BDE9D1E" w:rsidR="00A66B01">
        <w:rPr>
          <w:rFonts w:cs="Calibri" w:cstheme="minorAscii"/>
          <w:lang w:val="fr-FR"/>
        </w:rPr>
        <w:t>. Ainsi, une commune avec 3.999 enfants disposera</w:t>
      </w:r>
      <w:r w:rsidRPr="1BDE9D1E" w:rsidR="00FD294A">
        <w:rPr>
          <w:rFonts w:cs="Calibri" w:cstheme="minorAscii"/>
          <w:lang w:val="fr-FR"/>
        </w:rPr>
        <w:t xml:space="preserve"> du financement pour</w:t>
      </w:r>
      <w:r w:rsidRPr="1BDE9D1E" w:rsidR="00A66B01">
        <w:rPr>
          <w:rFonts w:cs="Calibri" w:cstheme="minorAscii"/>
          <w:lang w:val="fr-FR"/>
        </w:rPr>
        <w:t xml:space="preserve"> 0,5</w:t>
      </w:r>
      <w:r w:rsidRPr="1BDE9D1E" w:rsidR="00A66B01">
        <w:rPr>
          <w:rFonts w:cs="Calibri" w:cstheme="minorAscii"/>
          <w:lang w:val="fr-FR"/>
        </w:rPr>
        <w:t xml:space="preserve"> ETP alors qu’une commune avec 4.001 enfants disposera d’un ETP complet. </w:t>
      </w:r>
      <w:r w:rsidRPr="1BDE9D1E" w:rsidR="00FD294A">
        <w:rPr>
          <w:rFonts w:cs="Calibri" w:cstheme="minorAscii"/>
          <w:lang w:val="fr-FR"/>
        </w:rPr>
        <w:t xml:space="preserve">Cette situation est identique pour </w:t>
      </w:r>
      <w:r w:rsidRPr="1BDE9D1E" w:rsidR="00582BD6">
        <w:rPr>
          <w:rFonts w:cs="Calibri" w:cstheme="minorAscii"/>
          <w:lang w:val="fr-FR"/>
        </w:rPr>
        <w:t>les différents niveaux existants ;</w:t>
      </w:r>
    </w:p>
    <w:p w:rsidRPr="00BC65B4" w:rsidR="00BC65B4" w:rsidP="00BC65B4" w:rsidRDefault="00BC65B4" w14:paraId="2FADEBF6" w14:textId="77777777">
      <w:pPr>
        <w:pStyle w:val="ListParagraph"/>
        <w:numPr>
          <w:ilvl w:val="0"/>
          <w:numId w:val="11"/>
        </w:numPr>
        <w:spacing w:after="0"/>
        <w:jc w:val="both"/>
        <w:rPr>
          <w:rFonts w:cstheme="minorHAnsi"/>
          <w:lang w:val="fr-FR"/>
        </w:rPr>
      </w:pPr>
      <w:r w:rsidRPr="00BC65B4">
        <w:rPr>
          <w:rFonts w:cstheme="minorHAnsi"/>
          <w:lang w:val="fr-FR"/>
        </w:rPr>
        <w:t>La dernière tranche est plafonnée à 2 ETP pour toutes les communes de plus de 8.000 enfants. Cela signifie que ces communes touchent le même financement que les plus grandes villes comme Charleroi (25.523), Bruxelles-Ville (24.743) ou Liège (21.924 enfants) ;</w:t>
      </w:r>
    </w:p>
    <w:p w:rsidRPr="00BC65B4" w:rsidR="00BC65B4" w:rsidP="00BC65B4" w:rsidRDefault="00BC65B4" w14:paraId="3E41FA09" w14:textId="77777777">
      <w:pPr>
        <w:spacing w:after="0"/>
        <w:jc w:val="both"/>
        <w:rPr>
          <w:rFonts w:cstheme="minorHAnsi"/>
          <w:lang w:val="fr-FR"/>
        </w:rPr>
      </w:pPr>
    </w:p>
    <w:p w:rsidRPr="005B1C6E" w:rsidR="0002272A" w:rsidP="005B1C6E" w:rsidRDefault="00BC65B4" w14:paraId="396BAEF7" w14:textId="5A1AFEE0">
      <w:pPr>
        <w:spacing w:after="0"/>
        <w:jc w:val="both"/>
        <w:rPr>
          <w:rFonts w:cstheme="minorHAnsi"/>
          <w:lang w:val="fr-FR"/>
        </w:rPr>
      </w:pPr>
      <w:r w:rsidRPr="00BC65B4">
        <w:rPr>
          <w:rFonts w:cstheme="minorHAnsi"/>
          <w:lang w:val="fr-FR"/>
        </w:rPr>
        <w:t>La plateforme des coordinateurs ATL dispose d’un financement de 54k€ pour la rémunération du permanent et ses frais de fonctionnement.</w:t>
      </w:r>
    </w:p>
    <w:sectPr w:rsidRPr="005B1C6E" w:rsidR="0002272A">
      <w:footerReference w:type="even" r:id="rId14"/>
      <w:footerReference w:type="default" r:id="rId15"/>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557" w:rsidP="00BC65B4" w:rsidRDefault="00B85557" w14:paraId="24C2832E" w14:textId="77777777">
      <w:pPr>
        <w:spacing w:after="0" w:line="240" w:lineRule="auto"/>
      </w:pPr>
      <w:r>
        <w:separator/>
      </w:r>
    </w:p>
  </w:endnote>
  <w:endnote w:type="continuationSeparator" w:id="0">
    <w:p w:rsidR="00B85557" w:rsidP="00BC65B4" w:rsidRDefault="00B85557" w14:paraId="0E463535" w14:textId="77777777">
      <w:pPr>
        <w:spacing w:after="0" w:line="240" w:lineRule="auto"/>
      </w:pPr>
      <w:r>
        <w:continuationSeparator/>
      </w:r>
    </w:p>
  </w:endnote>
  <w:endnote w:type="continuationNotice" w:id="1">
    <w:p w:rsidR="00B85557" w:rsidRDefault="00B85557" w14:paraId="189CD8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0E8" w:rsidP="00CE7B42" w:rsidRDefault="00C100E8" w14:paraId="3AE06E61" w14:textId="02C4FE9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100E8" w:rsidP="00C100E8" w:rsidRDefault="00C100E8" w14:paraId="3534850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03924"/>
      <w:docPartObj>
        <w:docPartGallery w:val="Page Numbers (Bottom of Page)"/>
        <w:docPartUnique/>
      </w:docPartObj>
    </w:sdtPr>
    <w:sdtContent>
      <w:p w:rsidR="00C100E8" w:rsidP="00CE7B42" w:rsidRDefault="00C100E8" w14:paraId="37CEC070" w14:textId="5331AD5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100E8" w:rsidP="00C100E8" w:rsidRDefault="00C100E8" w14:paraId="5F937A7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557" w:rsidP="00BC65B4" w:rsidRDefault="00B85557" w14:paraId="23952979" w14:textId="77777777">
      <w:pPr>
        <w:spacing w:after="0" w:line="240" w:lineRule="auto"/>
      </w:pPr>
      <w:r>
        <w:separator/>
      </w:r>
    </w:p>
  </w:footnote>
  <w:footnote w:type="continuationSeparator" w:id="0">
    <w:p w:rsidR="00B85557" w:rsidP="00BC65B4" w:rsidRDefault="00B85557" w14:paraId="2F81E3CD" w14:textId="77777777">
      <w:pPr>
        <w:spacing w:after="0" w:line="240" w:lineRule="auto"/>
      </w:pPr>
      <w:r>
        <w:continuationSeparator/>
      </w:r>
    </w:p>
  </w:footnote>
  <w:footnote w:type="continuationNotice" w:id="1">
    <w:p w:rsidR="00B85557" w:rsidRDefault="00B85557" w14:paraId="7B59EB36" w14:textId="77777777">
      <w:pPr>
        <w:spacing w:after="0" w:line="240" w:lineRule="auto"/>
      </w:pPr>
    </w:p>
  </w:footnote>
  <w:footnote w:id="2">
    <w:p w:rsidR="00BC65B4" w:rsidP="00BC65B4" w:rsidRDefault="00BC65B4" w14:paraId="206A4666" w14:textId="77777777">
      <w:pPr>
        <w:pStyle w:val="FootnoteText"/>
      </w:pPr>
      <w:r>
        <w:rPr>
          <w:rStyle w:val="FootnoteReference"/>
        </w:rPr>
        <w:footnoteRef/>
      </w:r>
      <w:r>
        <w:t xml:space="preserve"> Les données sont légèrement distinctes des autres tableaux car elles proviennent d’une autre base de données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6180d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7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51111"/>
    <w:multiLevelType w:val="hybridMultilevel"/>
    <w:tmpl w:val="EF96DA1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0DFA598E"/>
    <w:multiLevelType w:val="hybridMultilevel"/>
    <w:tmpl w:val="EE9EE3B0"/>
    <w:lvl w:ilvl="0" w:tplc="72AA73C2">
      <w:start w:val="1"/>
      <w:numFmt w:val="decimal"/>
      <w:pStyle w:val="Styl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8A9517D"/>
    <w:multiLevelType w:val="hybridMultilevel"/>
    <w:tmpl w:val="F066353A"/>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3" w15:restartNumberingAfterBreak="0">
    <w:nsid w:val="1B083882"/>
    <w:multiLevelType w:val="hybridMultilevel"/>
    <w:tmpl w:val="302A375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1CEA72A6"/>
    <w:multiLevelType w:val="hybridMultilevel"/>
    <w:tmpl w:val="481CAC1C"/>
    <w:lvl w:ilvl="0" w:tplc="E272DDC6">
      <w:start w:val="1"/>
      <w:numFmt w:val="decimal"/>
      <w:lvlText w:val="%1."/>
      <w:lvlJc w:val="left"/>
      <w:pPr>
        <w:ind w:left="720" w:hanging="360"/>
      </w:pPr>
      <w:rPr>
        <w:rFonts w:hint="default"/>
      </w:rPr>
    </w:lvl>
    <w:lvl w:ilvl="1" w:tplc="6B749AE2">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EC1B39"/>
    <w:multiLevelType w:val="hybridMultilevel"/>
    <w:tmpl w:val="5D3E912E"/>
    <w:lvl w:ilvl="0" w:tplc="FFFFFFFF">
      <w:numFmt w:val="bullet"/>
      <w:lvlText w:val="-"/>
      <w:lvlJc w:val="left"/>
      <w:pPr>
        <w:ind w:left="360" w:hanging="360"/>
      </w:pPr>
      <w:rPr>
        <w:rFonts w:hint="default" w:ascii="Times New Roman" w:hAnsi="Times New Roman" w:eastAsia="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6C5BA2"/>
    <w:multiLevelType w:val="hybridMultilevel"/>
    <w:tmpl w:val="5A7A96F6"/>
    <w:lvl w:ilvl="0" w:tplc="FFFFFFFF">
      <w:numFmt w:val="bullet"/>
      <w:lvlText w:val="-"/>
      <w:lvlJc w:val="left"/>
      <w:pPr>
        <w:ind w:left="360" w:hanging="360"/>
      </w:pPr>
      <w:rPr>
        <w:rFonts w:hint="default" w:ascii="Times New Roman" w:hAnsi="Times New Roman" w:eastAsia="Times New Roman"/>
      </w:rPr>
    </w:lvl>
    <w:lvl w:ilvl="1" w:tplc="080C0003">
      <w:start w:val="1"/>
      <w:numFmt w:val="bullet"/>
      <w:lvlText w:val="o"/>
      <w:lvlJc w:val="left"/>
      <w:pPr>
        <w:ind w:left="1485" w:hanging="360"/>
      </w:pPr>
      <w:rPr>
        <w:rFonts w:hint="default" w:ascii="Courier New" w:hAnsi="Courier New" w:cs="Courier New"/>
      </w:rPr>
    </w:lvl>
    <w:lvl w:ilvl="2" w:tplc="080C0005" w:tentative="1">
      <w:start w:val="1"/>
      <w:numFmt w:val="bullet"/>
      <w:lvlText w:val=""/>
      <w:lvlJc w:val="left"/>
      <w:pPr>
        <w:ind w:left="2205" w:hanging="360"/>
      </w:pPr>
      <w:rPr>
        <w:rFonts w:hint="default" w:ascii="Wingdings" w:hAnsi="Wingdings"/>
      </w:rPr>
    </w:lvl>
    <w:lvl w:ilvl="3" w:tplc="080C0001" w:tentative="1">
      <w:start w:val="1"/>
      <w:numFmt w:val="bullet"/>
      <w:lvlText w:val=""/>
      <w:lvlJc w:val="left"/>
      <w:pPr>
        <w:ind w:left="2925" w:hanging="360"/>
      </w:pPr>
      <w:rPr>
        <w:rFonts w:hint="default" w:ascii="Symbol" w:hAnsi="Symbol"/>
      </w:rPr>
    </w:lvl>
    <w:lvl w:ilvl="4" w:tplc="080C0003" w:tentative="1">
      <w:start w:val="1"/>
      <w:numFmt w:val="bullet"/>
      <w:lvlText w:val="o"/>
      <w:lvlJc w:val="left"/>
      <w:pPr>
        <w:ind w:left="3645" w:hanging="360"/>
      </w:pPr>
      <w:rPr>
        <w:rFonts w:hint="default" w:ascii="Courier New" w:hAnsi="Courier New" w:cs="Courier New"/>
      </w:rPr>
    </w:lvl>
    <w:lvl w:ilvl="5" w:tplc="080C0005" w:tentative="1">
      <w:start w:val="1"/>
      <w:numFmt w:val="bullet"/>
      <w:lvlText w:val=""/>
      <w:lvlJc w:val="left"/>
      <w:pPr>
        <w:ind w:left="4365" w:hanging="360"/>
      </w:pPr>
      <w:rPr>
        <w:rFonts w:hint="default" w:ascii="Wingdings" w:hAnsi="Wingdings"/>
      </w:rPr>
    </w:lvl>
    <w:lvl w:ilvl="6" w:tplc="080C0001" w:tentative="1">
      <w:start w:val="1"/>
      <w:numFmt w:val="bullet"/>
      <w:lvlText w:val=""/>
      <w:lvlJc w:val="left"/>
      <w:pPr>
        <w:ind w:left="5085" w:hanging="360"/>
      </w:pPr>
      <w:rPr>
        <w:rFonts w:hint="default" w:ascii="Symbol" w:hAnsi="Symbol"/>
      </w:rPr>
    </w:lvl>
    <w:lvl w:ilvl="7" w:tplc="080C0003" w:tentative="1">
      <w:start w:val="1"/>
      <w:numFmt w:val="bullet"/>
      <w:lvlText w:val="o"/>
      <w:lvlJc w:val="left"/>
      <w:pPr>
        <w:ind w:left="5805" w:hanging="360"/>
      </w:pPr>
      <w:rPr>
        <w:rFonts w:hint="default" w:ascii="Courier New" w:hAnsi="Courier New" w:cs="Courier New"/>
      </w:rPr>
    </w:lvl>
    <w:lvl w:ilvl="8" w:tplc="080C0005" w:tentative="1">
      <w:start w:val="1"/>
      <w:numFmt w:val="bullet"/>
      <w:lvlText w:val=""/>
      <w:lvlJc w:val="left"/>
      <w:pPr>
        <w:ind w:left="6525" w:hanging="360"/>
      </w:pPr>
      <w:rPr>
        <w:rFonts w:hint="default" w:ascii="Wingdings" w:hAnsi="Wingdings"/>
      </w:rPr>
    </w:lvl>
  </w:abstractNum>
  <w:abstractNum w:abstractNumId="7" w15:restartNumberingAfterBreak="0">
    <w:nsid w:val="2C0F7CED"/>
    <w:multiLevelType w:val="hybridMultilevel"/>
    <w:tmpl w:val="DA104D1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8" w15:restartNumberingAfterBreak="0">
    <w:nsid w:val="2E3E43E7"/>
    <w:multiLevelType w:val="hybridMultilevel"/>
    <w:tmpl w:val="B5F03EBC"/>
    <w:lvl w:ilvl="0" w:tplc="FFFFFFFF">
      <w:numFmt w:val="bullet"/>
      <w:lvlText w:val="-"/>
      <w:lvlJc w:val="left"/>
      <w:pPr>
        <w:ind w:left="360" w:hanging="360"/>
      </w:pPr>
      <w:rPr>
        <w:rFonts w:hint="default" w:ascii="Times New Roman" w:hAnsi="Times New Roman" w:eastAsia="Times New Roman"/>
      </w:rPr>
    </w:lvl>
    <w:lvl w:ilvl="1" w:tplc="FFFFFFFF">
      <w:start w:val="1"/>
      <w:numFmt w:val="bullet"/>
      <w:lvlText w:val="o"/>
      <w:lvlJc w:val="left"/>
      <w:pPr>
        <w:ind w:left="1485" w:hanging="360"/>
      </w:pPr>
      <w:rPr>
        <w:rFonts w:hint="default" w:ascii="Courier New" w:hAnsi="Courier New" w:cs="Courier New"/>
      </w:rPr>
    </w:lvl>
    <w:lvl w:ilvl="2" w:tplc="FFFFFFFF" w:tentative="1">
      <w:start w:val="1"/>
      <w:numFmt w:val="bullet"/>
      <w:lvlText w:val=""/>
      <w:lvlJc w:val="left"/>
      <w:pPr>
        <w:ind w:left="2205" w:hanging="360"/>
      </w:pPr>
      <w:rPr>
        <w:rFonts w:hint="default" w:ascii="Wingdings" w:hAnsi="Wingdings"/>
      </w:rPr>
    </w:lvl>
    <w:lvl w:ilvl="3" w:tplc="FFFFFFFF" w:tentative="1">
      <w:start w:val="1"/>
      <w:numFmt w:val="bullet"/>
      <w:lvlText w:val=""/>
      <w:lvlJc w:val="left"/>
      <w:pPr>
        <w:ind w:left="2925" w:hanging="360"/>
      </w:pPr>
      <w:rPr>
        <w:rFonts w:hint="default" w:ascii="Symbol" w:hAnsi="Symbol"/>
      </w:rPr>
    </w:lvl>
    <w:lvl w:ilvl="4" w:tplc="FFFFFFFF" w:tentative="1">
      <w:start w:val="1"/>
      <w:numFmt w:val="bullet"/>
      <w:lvlText w:val="o"/>
      <w:lvlJc w:val="left"/>
      <w:pPr>
        <w:ind w:left="3645" w:hanging="360"/>
      </w:pPr>
      <w:rPr>
        <w:rFonts w:hint="default" w:ascii="Courier New" w:hAnsi="Courier New" w:cs="Courier New"/>
      </w:rPr>
    </w:lvl>
    <w:lvl w:ilvl="5" w:tplc="FFFFFFFF" w:tentative="1">
      <w:start w:val="1"/>
      <w:numFmt w:val="bullet"/>
      <w:lvlText w:val=""/>
      <w:lvlJc w:val="left"/>
      <w:pPr>
        <w:ind w:left="4365" w:hanging="360"/>
      </w:pPr>
      <w:rPr>
        <w:rFonts w:hint="default" w:ascii="Wingdings" w:hAnsi="Wingdings"/>
      </w:rPr>
    </w:lvl>
    <w:lvl w:ilvl="6" w:tplc="FFFFFFFF" w:tentative="1">
      <w:start w:val="1"/>
      <w:numFmt w:val="bullet"/>
      <w:lvlText w:val=""/>
      <w:lvlJc w:val="left"/>
      <w:pPr>
        <w:ind w:left="5085" w:hanging="360"/>
      </w:pPr>
      <w:rPr>
        <w:rFonts w:hint="default" w:ascii="Symbol" w:hAnsi="Symbol"/>
      </w:rPr>
    </w:lvl>
    <w:lvl w:ilvl="7" w:tplc="FFFFFFFF" w:tentative="1">
      <w:start w:val="1"/>
      <w:numFmt w:val="bullet"/>
      <w:lvlText w:val="o"/>
      <w:lvlJc w:val="left"/>
      <w:pPr>
        <w:ind w:left="5805" w:hanging="360"/>
      </w:pPr>
      <w:rPr>
        <w:rFonts w:hint="default" w:ascii="Courier New" w:hAnsi="Courier New" w:cs="Courier New"/>
      </w:rPr>
    </w:lvl>
    <w:lvl w:ilvl="8" w:tplc="FFFFFFFF" w:tentative="1">
      <w:start w:val="1"/>
      <w:numFmt w:val="bullet"/>
      <w:lvlText w:val=""/>
      <w:lvlJc w:val="left"/>
      <w:pPr>
        <w:ind w:left="6525" w:hanging="360"/>
      </w:pPr>
      <w:rPr>
        <w:rFonts w:hint="default" w:ascii="Wingdings" w:hAnsi="Wingdings"/>
      </w:rPr>
    </w:lvl>
  </w:abstractNum>
  <w:abstractNum w:abstractNumId="9" w15:restartNumberingAfterBreak="0">
    <w:nsid w:val="33C261CD"/>
    <w:multiLevelType w:val="hybridMultilevel"/>
    <w:tmpl w:val="99AE55BC"/>
    <w:lvl w:ilvl="0" w:tplc="FFFFFFFF">
      <w:start w:val="1"/>
      <w:numFmt w:val="upperLetter"/>
      <w:lvlText w:val="%1."/>
      <w:lvlJc w:val="left"/>
      <w:pPr>
        <w:tabs>
          <w:tab w:val="num" w:pos="735"/>
        </w:tabs>
        <w:ind w:left="735" w:hanging="375"/>
      </w:pPr>
      <w:rPr>
        <w:rFonts w:hint="default"/>
      </w:rPr>
    </w:lvl>
    <w:lvl w:ilvl="1" w:tplc="FFFFFFFF">
      <w:numFmt w:val="bullet"/>
      <w:lvlText w:val="-"/>
      <w:lvlJc w:val="left"/>
      <w:pPr>
        <w:tabs>
          <w:tab w:val="num" w:pos="1440"/>
        </w:tabs>
        <w:ind w:left="1440" w:hanging="360"/>
      </w:pPr>
      <w:rPr>
        <w:rFonts w:hint="default" w:ascii="Times New Roman" w:hAnsi="Times New Roman" w:eastAsia="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0D09F1"/>
    <w:multiLevelType w:val="hybridMultilevel"/>
    <w:tmpl w:val="29FAE8DE"/>
    <w:lvl w:ilvl="0" w:tplc="0E3C61E6">
      <w:start w:val="1"/>
      <w:numFmt w:val="decimal"/>
      <w:pStyle w:val="titre1"/>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1446CE9"/>
    <w:multiLevelType w:val="hybridMultilevel"/>
    <w:tmpl w:val="C778C6D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2" w15:restartNumberingAfterBreak="0">
    <w:nsid w:val="51531942"/>
    <w:multiLevelType w:val="multilevel"/>
    <w:tmpl w:val="169A5D0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536B0181"/>
    <w:multiLevelType w:val="hybridMultilevel"/>
    <w:tmpl w:val="DE7E1CAA"/>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65B104E6"/>
    <w:multiLevelType w:val="hybridMultilevel"/>
    <w:tmpl w:val="1260525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68DC00B2"/>
    <w:multiLevelType w:val="hybridMultilevel"/>
    <w:tmpl w:val="3B6AE0C6"/>
    <w:lvl w:ilvl="0" w:tplc="FFFFFFFF">
      <w:numFmt w:val="bullet"/>
      <w:lvlText w:val="-"/>
      <w:lvlJc w:val="left"/>
      <w:pPr>
        <w:ind w:left="360" w:hanging="360"/>
      </w:pPr>
      <w:rPr>
        <w:rFonts w:hint="default" w:ascii="Times New Roman" w:hAnsi="Times New Roman" w:eastAsia="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7E136046"/>
    <w:multiLevelType w:val="hybridMultilevel"/>
    <w:tmpl w:val="7466FAC8"/>
    <w:lvl w:ilvl="0">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9">
    <w:abstractNumId w:val="17"/>
  </w:num>
  <w:num w:numId="1" w16cid:durableId="2123110102">
    <w:abstractNumId w:val="10"/>
  </w:num>
  <w:num w:numId="2" w16cid:durableId="2037541590">
    <w:abstractNumId w:val="1"/>
  </w:num>
  <w:num w:numId="3" w16cid:durableId="1664510590">
    <w:abstractNumId w:val="9"/>
  </w:num>
  <w:num w:numId="4" w16cid:durableId="733357222">
    <w:abstractNumId w:val="12"/>
  </w:num>
  <w:num w:numId="5" w16cid:durableId="537162475">
    <w:abstractNumId w:val="14"/>
  </w:num>
  <w:num w:numId="6" w16cid:durableId="1978604025">
    <w:abstractNumId w:val="16"/>
  </w:num>
  <w:num w:numId="7" w16cid:durableId="735587717">
    <w:abstractNumId w:val="2"/>
  </w:num>
  <w:num w:numId="8" w16cid:durableId="1956596488">
    <w:abstractNumId w:val="3"/>
  </w:num>
  <w:num w:numId="9" w16cid:durableId="1026490557">
    <w:abstractNumId w:val="7"/>
  </w:num>
  <w:num w:numId="10" w16cid:durableId="170994555">
    <w:abstractNumId w:val="13"/>
  </w:num>
  <w:num w:numId="11" w16cid:durableId="1077822376">
    <w:abstractNumId w:val="0"/>
  </w:num>
  <w:num w:numId="12" w16cid:durableId="863901365">
    <w:abstractNumId w:val="11"/>
  </w:num>
  <w:num w:numId="13" w16cid:durableId="1048066826">
    <w:abstractNumId w:val="12"/>
    <w:lvlOverride w:ilvl="0">
      <w:startOverride w:val="2"/>
    </w:lvlOverride>
    <w:lvlOverride w:ilvl="1">
      <w:startOverride w:val="2"/>
    </w:lvlOverride>
  </w:num>
  <w:num w:numId="14" w16cid:durableId="1069109733">
    <w:abstractNumId w:val="4"/>
  </w:num>
  <w:num w:numId="15" w16cid:durableId="2000113799">
    <w:abstractNumId w:val="6"/>
  </w:num>
  <w:num w:numId="16" w16cid:durableId="420639753">
    <w:abstractNumId w:val="15"/>
  </w:num>
  <w:num w:numId="17" w16cid:durableId="1269703238">
    <w:abstractNumId w:val="8"/>
  </w:num>
  <w:num w:numId="18" w16cid:durableId="2140491080">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B4"/>
    <w:rsid w:val="0002272A"/>
    <w:rsid w:val="000B7704"/>
    <w:rsid w:val="001575E9"/>
    <w:rsid w:val="00233134"/>
    <w:rsid w:val="00266F83"/>
    <w:rsid w:val="00274925"/>
    <w:rsid w:val="00353BA6"/>
    <w:rsid w:val="00376C04"/>
    <w:rsid w:val="00397089"/>
    <w:rsid w:val="00457434"/>
    <w:rsid w:val="004E6CC8"/>
    <w:rsid w:val="00582BD6"/>
    <w:rsid w:val="005B1C6E"/>
    <w:rsid w:val="006547E5"/>
    <w:rsid w:val="00667B64"/>
    <w:rsid w:val="00750CB9"/>
    <w:rsid w:val="00804651"/>
    <w:rsid w:val="0084247D"/>
    <w:rsid w:val="009262FB"/>
    <w:rsid w:val="0093097C"/>
    <w:rsid w:val="009F4273"/>
    <w:rsid w:val="00A66B01"/>
    <w:rsid w:val="00A6720D"/>
    <w:rsid w:val="00A82383"/>
    <w:rsid w:val="00AF5C49"/>
    <w:rsid w:val="00B85557"/>
    <w:rsid w:val="00BA47FB"/>
    <w:rsid w:val="00BC65B4"/>
    <w:rsid w:val="00C100E8"/>
    <w:rsid w:val="00C550E0"/>
    <w:rsid w:val="00C61C64"/>
    <w:rsid w:val="00C71C9F"/>
    <w:rsid w:val="00C8765F"/>
    <w:rsid w:val="00CE7B42"/>
    <w:rsid w:val="00D73F20"/>
    <w:rsid w:val="00DC1C4E"/>
    <w:rsid w:val="00E15BE8"/>
    <w:rsid w:val="00E72986"/>
    <w:rsid w:val="00EB3615"/>
    <w:rsid w:val="00EF4E9E"/>
    <w:rsid w:val="00EF7246"/>
    <w:rsid w:val="00FD294A"/>
    <w:rsid w:val="1A653DA9"/>
    <w:rsid w:val="1BDE9D1E"/>
    <w:rsid w:val="25AD0469"/>
    <w:rsid w:val="3972040D"/>
    <w:rsid w:val="5C587E97"/>
    <w:rsid w:val="6FAE30A9"/>
    <w:rsid w:val="6FAE30A9"/>
    <w:rsid w:val="72E5D16B"/>
    <w:rsid w:val="7481A1CC"/>
    <w:rsid w:val="761D722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AA41"/>
  <w15:chartTrackingRefBased/>
  <w15:docId w15:val="{FCAEE56F-7728-4F2A-981D-DB44A3E5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65B4"/>
    <w:pPr>
      <w:spacing w:after="200" w:line="276" w:lineRule="auto"/>
    </w:pPr>
    <w:rPr>
      <w:kern w:val="0"/>
      <w:sz w:val="22"/>
      <w:szCs w:val="22"/>
      <w14:ligatures w14:val="none"/>
    </w:rPr>
  </w:style>
  <w:style w:type="paragraph" w:styleId="Heading1">
    <w:name w:val="heading 1"/>
    <w:basedOn w:val="Normal"/>
    <w:next w:val="Normal"/>
    <w:link w:val="Heading1Char"/>
    <w:qFormat/>
    <w:rsid w:val="00667B64"/>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BC65B4"/>
    <w:pPr>
      <w:tabs>
        <w:tab w:val="num" w:pos="360"/>
      </w:tabs>
      <w:jc w:val="both"/>
      <w:outlineLvl w:val="1"/>
    </w:pPr>
    <w:rPr>
      <w:rFonts w:ascii="Verdana" w:hAnsi="Verdana"/>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re1" w:customStyle="1">
    <w:name w:val="titre 1"/>
    <w:basedOn w:val="Normal"/>
    <w:qFormat/>
    <w:rsid w:val="00667B64"/>
    <w:pPr>
      <w:keepNext/>
      <w:numPr>
        <w:numId w:val="1"/>
      </w:numPr>
      <w:shd w:val="clear" w:color="auto" w:fill="D9D9D9"/>
      <w:spacing w:before="240" w:after="120"/>
      <w:jc w:val="center"/>
      <w:outlineLvl w:val="0"/>
    </w:pPr>
    <w:rPr>
      <w:rFonts w:ascii="Times New Roman" w:hAnsi="Times New Roman" w:eastAsia="Times New Roman" w:cs="Times New Roman"/>
      <w:kern w:val="32"/>
      <w:sz w:val="28"/>
      <w:szCs w:val="28"/>
      <w:lang w:val="fr-FR" w:eastAsia="fr-FR"/>
    </w:rPr>
  </w:style>
  <w:style w:type="paragraph" w:styleId="Style1" w:customStyle="1">
    <w:name w:val="Style1"/>
    <w:basedOn w:val="Heading1"/>
    <w:qFormat/>
    <w:rsid w:val="00667B64"/>
    <w:pPr>
      <w:keepLines w:val="0"/>
      <w:numPr>
        <w:numId w:val="2"/>
      </w:numPr>
      <w:spacing w:after="60"/>
    </w:pPr>
    <w:rPr>
      <w:rFonts w:ascii="Times New Roman" w:hAnsi="Times New Roman" w:eastAsia="Times New Roman" w:cs="Times New Roman"/>
      <w:color w:val="auto"/>
      <w:kern w:val="32"/>
      <w:sz w:val="28"/>
      <w:szCs w:val="28"/>
      <w:lang w:val="fr-FR" w:eastAsia="fr-FR"/>
    </w:rPr>
  </w:style>
  <w:style w:type="character" w:styleId="Heading1Char" w:customStyle="1">
    <w:name w:val="Heading 1 Char"/>
    <w:basedOn w:val="DefaultParagraphFont"/>
    <w:link w:val="Heading1"/>
    <w:uiPriority w:val="9"/>
    <w:rsid w:val="00667B6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BC65B4"/>
    <w:rPr>
      <w:rFonts w:ascii="Verdana" w:hAnsi="Verdana"/>
      <w:b/>
      <w:bCs/>
      <w:i/>
      <w:iCs/>
      <w:kern w:val="0"/>
      <w:sz w:val="22"/>
      <w:szCs w:val="22"/>
      <w14:ligatures w14:val="none"/>
    </w:rPr>
  </w:style>
  <w:style w:type="paragraph" w:styleId="ListParagraph">
    <w:name w:val="List Paragraph"/>
    <w:basedOn w:val="Normal"/>
    <w:link w:val="ListParagraphChar"/>
    <w:uiPriority w:val="1"/>
    <w:qFormat/>
    <w:rsid w:val="00BC65B4"/>
    <w:pPr>
      <w:ind w:left="720"/>
      <w:contextualSpacing/>
    </w:pPr>
  </w:style>
  <w:style w:type="character" w:styleId="ListParagraphChar" w:customStyle="1">
    <w:name w:val="List Paragraph Char"/>
    <w:basedOn w:val="DefaultParagraphFont"/>
    <w:link w:val="ListParagraph"/>
    <w:uiPriority w:val="34"/>
    <w:locked/>
    <w:rsid w:val="00BC65B4"/>
    <w:rPr>
      <w:kern w:val="0"/>
      <w:sz w:val="22"/>
      <w:szCs w:val="22"/>
      <w14:ligatures w14:val="none"/>
    </w:rPr>
  </w:style>
  <w:style w:type="paragraph" w:styleId="FootnoteText">
    <w:name w:val="footnote text"/>
    <w:aliases w:val=" Car,Car"/>
    <w:basedOn w:val="Normal"/>
    <w:link w:val="FootnoteTextChar"/>
    <w:uiPriority w:val="99"/>
    <w:unhideWhenUsed/>
    <w:rsid w:val="00BC65B4"/>
    <w:pPr>
      <w:spacing w:after="0" w:line="240" w:lineRule="auto"/>
    </w:pPr>
    <w:rPr>
      <w:sz w:val="20"/>
      <w:szCs w:val="20"/>
    </w:rPr>
  </w:style>
  <w:style w:type="character" w:styleId="FootnoteTextChar" w:customStyle="1">
    <w:name w:val="Footnote Text Char"/>
    <w:aliases w:val=" Car Char,Car Char"/>
    <w:basedOn w:val="DefaultParagraphFont"/>
    <w:link w:val="FootnoteText"/>
    <w:uiPriority w:val="99"/>
    <w:rsid w:val="00BC65B4"/>
    <w:rPr>
      <w:kern w:val="0"/>
      <w:sz w:val="20"/>
      <w:szCs w:val="20"/>
      <w14:ligatures w14:val="none"/>
    </w:rPr>
  </w:style>
  <w:style w:type="character" w:styleId="FootnoteReference">
    <w:name w:val="footnote reference"/>
    <w:basedOn w:val="DefaultParagraphFont"/>
    <w:uiPriority w:val="99"/>
    <w:unhideWhenUsed/>
    <w:rsid w:val="00BC65B4"/>
    <w:rPr>
      <w:vertAlign w:val="superscript"/>
    </w:rPr>
  </w:style>
  <w:style w:type="paragraph" w:styleId="Header">
    <w:name w:val="header"/>
    <w:basedOn w:val="Normal"/>
    <w:link w:val="HeaderChar"/>
    <w:uiPriority w:val="99"/>
    <w:unhideWhenUsed/>
    <w:rsid w:val="001575E9"/>
    <w:pPr>
      <w:tabs>
        <w:tab w:val="center" w:pos="4536"/>
        <w:tab w:val="right" w:pos="9072"/>
      </w:tabs>
      <w:spacing w:after="0" w:line="240" w:lineRule="auto"/>
    </w:pPr>
  </w:style>
  <w:style w:type="character" w:styleId="HeaderChar" w:customStyle="1">
    <w:name w:val="Header Char"/>
    <w:basedOn w:val="DefaultParagraphFont"/>
    <w:link w:val="Header"/>
    <w:uiPriority w:val="99"/>
    <w:rsid w:val="001575E9"/>
    <w:rPr>
      <w:kern w:val="0"/>
      <w:sz w:val="22"/>
      <w:szCs w:val="22"/>
      <w14:ligatures w14:val="none"/>
    </w:rPr>
  </w:style>
  <w:style w:type="paragraph" w:styleId="Footer">
    <w:name w:val="footer"/>
    <w:basedOn w:val="Normal"/>
    <w:link w:val="FooterChar"/>
    <w:uiPriority w:val="99"/>
    <w:unhideWhenUsed/>
    <w:rsid w:val="001575E9"/>
    <w:pPr>
      <w:tabs>
        <w:tab w:val="center" w:pos="4536"/>
        <w:tab w:val="right" w:pos="9072"/>
      </w:tabs>
      <w:spacing w:after="0" w:line="240" w:lineRule="auto"/>
    </w:pPr>
  </w:style>
  <w:style w:type="character" w:styleId="FooterChar" w:customStyle="1">
    <w:name w:val="Footer Char"/>
    <w:basedOn w:val="DefaultParagraphFont"/>
    <w:link w:val="Footer"/>
    <w:uiPriority w:val="99"/>
    <w:rsid w:val="001575E9"/>
    <w:rPr>
      <w:kern w:val="0"/>
      <w:sz w:val="22"/>
      <w:szCs w:val="22"/>
      <w14:ligatures w14:val="none"/>
    </w:rPr>
  </w:style>
  <w:style w:type="character" w:styleId="PageNumber">
    <w:name w:val="page number"/>
    <w:basedOn w:val="DefaultParagraphFont"/>
    <w:uiPriority w:val="99"/>
    <w:semiHidden/>
    <w:unhideWhenUsed/>
    <w:rsid w:val="00C100E8"/>
  </w:style>
  <w:style w:type="paragraph" w:styleId="Revision">
    <w:name w:val="Revision"/>
    <w:hidden/>
    <w:uiPriority w:val="99"/>
    <w:semiHidden/>
    <w:rsid w:val="00804651"/>
    <w:rPr>
      <w:kern w:val="0"/>
      <w:sz w:val="22"/>
      <w:szCs w:val="22"/>
      <w14:ligatures w14:val="none"/>
    </w:rPr>
  </w:style>
  <w:style w:type="character" w:styleId="CommentReference">
    <w:name w:val="annotation reference"/>
    <w:basedOn w:val="DefaultParagraphFont"/>
    <w:uiPriority w:val="99"/>
    <w:semiHidden/>
    <w:unhideWhenUsed/>
    <w:rsid w:val="00E72986"/>
    <w:rPr>
      <w:sz w:val="16"/>
      <w:szCs w:val="16"/>
    </w:rPr>
  </w:style>
  <w:style w:type="paragraph" w:styleId="CommentText">
    <w:name w:val="annotation text"/>
    <w:basedOn w:val="Normal"/>
    <w:link w:val="CommentTextChar"/>
    <w:uiPriority w:val="99"/>
    <w:semiHidden/>
    <w:unhideWhenUsed/>
    <w:rsid w:val="00E72986"/>
    <w:pPr>
      <w:spacing w:line="240" w:lineRule="auto"/>
    </w:pPr>
    <w:rPr>
      <w:sz w:val="20"/>
      <w:szCs w:val="20"/>
    </w:rPr>
  </w:style>
  <w:style w:type="character" w:styleId="CommentTextChar" w:customStyle="1">
    <w:name w:val="Comment Text Char"/>
    <w:basedOn w:val="DefaultParagraphFont"/>
    <w:link w:val="CommentText"/>
    <w:uiPriority w:val="99"/>
    <w:semiHidden/>
    <w:rsid w:val="00E7298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2986"/>
    <w:rPr>
      <w:b/>
      <w:bCs/>
    </w:rPr>
  </w:style>
  <w:style w:type="character" w:styleId="CommentSubjectChar" w:customStyle="1">
    <w:name w:val="Comment Subject Char"/>
    <w:basedOn w:val="CommentTextChar"/>
    <w:link w:val="CommentSubject"/>
    <w:uiPriority w:val="99"/>
    <w:semiHidden/>
    <w:rsid w:val="00E72986"/>
    <w:rPr>
      <w:b/>
      <w:bCs/>
      <w:kern w:val="0"/>
      <w:sz w:val="20"/>
      <w:szCs w:val="20"/>
      <w14:ligatures w14:val="none"/>
    </w:rPr>
  </w:style>
  <w:style w:type="character" w:styleId="Mention">
    <w:name w:val="Mention"/>
    <w:basedOn w:val="DefaultParagraphFont"/>
    <w:uiPriority w:val="99"/>
    <w:unhideWhenUsed/>
    <w:rsid w:val="00E729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d3f8ff69edc540f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2344bf-3610-49c2-85f4-2e5af0a3e802}"/>
      </w:docPartPr>
      <w:docPartBody>
        <w:p w14:paraId="30D01F91">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040a32-74d7-4630-bd07-33e64cf901e2">
      <Terms xmlns="http://schemas.microsoft.com/office/infopath/2007/PartnerControls"/>
    </lcf76f155ced4ddcb4097134ff3c332f>
    <Typecourrier xmlns="9a040a32-74d7-4630-bd07-33e64cf901e2" xsi:nil="true"/>
    <TaxCatchAll xmlns="524b348b-6804-4784-b62a-d60820d1ca51" xsi:nil="true"/>
    <Typeder_x00e9_ponse xmlns="9a040a32-74d7-4630-bd07-33e64cf901e2" xsi:nil="true"/>
    <_Flow_SignoffStatus xmlns="9a040a32-74d7-4630-bd07-33e64cf901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C6190DB0530C4EB17BA53F34A8C0C2" ma:contentTypeVersion="20" ma:contentTypeDescription="Een nieuw document maken." ma:contentTypeScope="" ma:versionID="16499590a7fabb58ad2449ea2c666a98">
  <xsd:schema xmlns:xsd="http://www.w3.org/2001/XMLSchema" xmlns:xs="http://www.w3.org/2001/XMLSchema" xmlns:p="http://schemas.microsoft.com/office/2006/metadata/properties" xmlns:ns2="9a040a32-74d7-4630-bd07-33e64cf901e2" xmlns:ns3="524b348b-6804-4784-b62a-d60820d1ca51" targetNamespace="http://schemas.microsoft.com/office/2006/metadata/properties" ma:root="true" ma:fieldsID="e08a4c168a845ae2006697db9dbba22a" ns2:_="" ns3:_="">
    <xsd:import namespace="9a040a32-74d7-4630-bd07-33e64cf901e2"/>
    <xsd:import namespace="524b348b-6804-4784-b62a-d60820d1c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Typecourrier" minOccurs="0"/>
                <xsd:element ref="ns2:Typeder_x00e9_pons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40a32-74d7-4630-bd07-33e64cf90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ypecourrier" ma:index="20" nillable="true" ma:displayName="Type courrier" ma:format="Dropdown" ma:internalName="Typecourrier">
      <xsd:simpleType>
        <xsd:restriction base="dms:Text">
          <xsd:maxLength value="255"/>
        </xsd:restriction>
      </xsd:simpleType>
    </xsd:element>
    <xsd:element name="Typeder_x00e9_ponse" ma:index="21" nillable="true" ma:displayName="Réponse oui / non" ma:format="Dropdown" ma:internalName="Typeder_x00e9_pons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Afmeldingsstatus" ma:internalName="Afmeldingsstatus">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8a2eb88-539b-4767-8eca-2ad12f4f7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b348b-6804-4784-b62a-d60820d1ca5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05215097-504a-428b-bd08-d7f383aba138}" ma:internalName="TaxCatchAll" ma:showField="CatchAllData" ma:web="524b348b-6804-4784-b62a-d60820d1c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8051D-2FF9-46E4-B78A-2FB9DC43B0F5}">
  <ds:schemaRefs>
    <ds:schemaRef ds:uri="http://schemas.microsoft.com/office/2006/metadata/properties"/>
    <ds:schemaRef ds:uri="http://schemas.microsoft.com/office/infopath/2007/PartnerControls"/>
    <ds:schemaRef ds:uri="9a040a32-74d7-4630-bd07-33e64cf901e2"/>
    <ds:schemaRef ds:uri="524b348b-6804-4784-b62a-d60820d1ca51"/>
  </ds:schemaRefs>
</ds:datastoreItem>
</file>

<file path=customXml/itemProps2.xml><?xml version="1.0" encoding="utf-8"?>
<ds:datastoreItem xmlns:ds="http://schemas.openxmlformats.org/officeDocument/2006/customXml" ds:itemID="{1131EE5D-CF89-4765-BC06-A6FE4F4C72AB}"/>
</file>

<file path=customXml/itemProps3.xml><?xml version="1.0" encoding="utf-8"?>
<ds:datastoreItem xmlns:ds="http://schemas.openxmlformats.org/officeDocument/2006/customXml" ds:itemID="{F5659D2A-3AE2-4708-BE8F-6463A2E8E2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ACERBIS</dc:creator>
  <cp:keywords/>
  <dc:description/>
  <cp:lastModifiedBy>Marie GRAILET</cp:lastModifiedBy>
  <cp:revision>29</cp:revision>
  <cp:lastPrinted>2023-07-11T14:41:00Z</cp:lastPrinted>
  <dcterms:created xsi:type="dcterms:W3CDTF">2023-07-11T09:44:00Z</dcterms:created>
  <dcterms:modified xsi:type="dcterms:W3CDTF">2023-07-14T13:56:27Z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0x010100F4C6190DB0530C4EB17BA53F34A8C0C2</vt:lpwstr>
  </property>
  <property fmtid="{D5CDD505-2E9C-101B-9397-08002B2CF9AE}" pid="3" name="MediaServiceImageTags">
    <vt:lpwstr/>
  </property>
</Properties>
</file>